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EBC8C7" w14:textId="6CF00A03" w:rsidR="00666310" w:rsidRPr="00666310" w:rsidRDefault="004A3EB7" w:rsidP="00666310">
      <w:pPr>
        <w:pStyle w:val="65ReferencesTextstylesTextstyles"/>
      </w:pPr>
      <w:bookmarkStart w:id="0" w:name="_Toc106106964"/>
      <w:r w:rsidRPr="004A3EB7">
        <w:rPr>
          <w:b/>
        </w:rPr>
        <w:t>References</w:t>
      </w:r>
      <w:bookmarkEnd w:id="0"/>
    </w:p>
    <w:p w14:paraId="25D168D6" w14:textId="1D66A003" w:rsidR="00666310" w:rsidRPr="00666310" w:rsidRDefault="00666310" w:rsidP="00666310">
      <w:pPr>
        <w:pStyle w:val="65ReferencesTextstylesTextstyles"/>
        <w:rPr>
          <w:highlight w:val="yellow"/>
        </w:rPr>
      </w:pPr>
      <w:commentRangeStart w:id="1"/>
      <w:r w:rsidRPr="00666310">
        <w:rPr>
          <w:highlight w:val="yellow"/>
        </w:rPr>
        <w:t>1.</w:t>
      </w:r>
      <w:r w:rsidRPr="00666310">
        <w:rPr>
          <w:highlight w:val="yellow"/>
        </w:rPr>
        <w:tab/>
        <w:t xml:space="preserve">Swain S, Sarmanova A, Mallen C, Kuo CF, Coupland C, Doherty M, Zhang W. Trends in incidence and prevalence of osteoarthritis in the United Kingdom: findings from the Clinical Practice Research Datalink (CPRD). </w:t>
      </w:r>
      <w:r w:rsidR="004A3EB7" w:rsidRPr="004A3EB7">
        <w:rPr>
          <w:i/>
          <w:highlight w:val="yellow"/>
        </w:rPr>
        <w:t>Osteoarthritis Cartilage</w:t>
      </w:r>
      <w:r w:rsidRPr="00666310">
        <w:rPr>
          <w:highlight w:val="yellow"/>
        </w:rPr>
        <w:t xml:space="preserve"> 2020;</w:t>
      </w:r>
      <w:r w:rsidR="004A3EB7" w:rsidRPr="004A3EB7">
        <w:rPr>
          <w:b/>
          <w:highlight w:val="yellow"/>
        </w:rPr>
        <w:t>28</w:t>
      </w:r>
      <w:r w:rsidRPr="00666310">
        <w:rPr>
          <w:highlight w:val="yellow"/>
        </w:rPr>
        <w:t>:</w:t>
      </w:r>
      <w:r w:rsidR="004A3EB7" w:rsidRPr="004A3EB7">
        <w:rPr>
          <w:color w:val="auto"/>
          <w:highlight w:val="yellow"/>
        </w:rPr>
        <w:t>792</w:t>
      </w:r>
      <w:r w:rsidR="004A3EB7" w:rsidRPr="004A3EB7">
        <w:rPr>
          <w:color w:val="00B0F0"/>
          <w:highlight w:val="yellow"/>
        </w:rPr>
        <w:t>–</w:t>
      </w:r>
      <w:r w:rsidR="004A3EB7" w:rsidRPr="004A3EB7">
        <w:rPr>
          <w:color w:val="auto"/>
          <w:highlight w:val="yellow"/>
        </w:rPr>
        <w:t>801</w:t>
      </w:r>
      <w:r w:rsidRPr="00666310">
        <w:rPr>
          <w:highlight w:val="yellow"/>
        </w:rPr>
        <w:t>.</w:t>
      </w:r>
      <w:commentRangeEnd w:id="1"/>
      <w:r>
        <w:rPr>
          <w:rStyle w:val="CommentReference"/>
          <w:rFonts w:asciiTheme="minorHAnsi" w:eastAsiaTheme="minorHAnsi" w:hAnsiTheme="minorHAnsi" w:cstheme="minorBidi"/>
          <w:color w:val="auto"/>
        </w:rPr>
        <w:commentReference w:id="1"/>
      </w:r>
    </w:p>
    <w:p w14:paraId="3427982E" w14:textId="05155388" w:rsidR="00666310" w:rsidRPr="00666310" w:rsidRDefault="00666310" w:rsidP="00666310">
      <w:pPr>
        <w:pStyle w:val="65ReferencesTextstylesTextstyles"/>
        <w:rPr>
          <w:highlight w:val="yellow"/>
        </w:rPr>
      </w:pPr>
      <w:commentRangeStart w:id="2"/>
      <w:r w:rsidRPr="00666310">
        <w:rPr>
          <w:highlight w:val="yellow"/>
        </w:rPr>
        <w:t>2.</w:t>
      </w:r>
      <w:r w:rsidRPr="00666310">
        <w:rPr>
          <w:highlight w:val="yellow"/>
        </w:rPr>
        <w:tab/>
        <w:t xml:space="preserve">Barbour KE, Moss S, Croft JB, Helmick CG, Theis KA, Brady TJ, </w:t>
      </w:r>
      <w:r w:rsidR="004A3EB7" w:rsidRPr="004A3EB7">
        <w:rPr>
          <w:i/>
          <w:highlight w:val="yellow"/>
        </w:rPr>
        <w:t>et al</w:t>
      </w:r>
      <w:r w:rsidRPr="00666310">
        <w:rPr>
          <w:highlight w:val="yellow"/>
        </w:rPr>
        <w:t xml:space="preserve">. Geographic Variations in Arthritis Prevalence, Health-Related Characteristics, and Management - United States, 2015. </w:t>
      </w:r>
      <w:r w:rsidR="004A3EB7" w:rsidRPr="004A3EB7">
        <w:rPr>
          <w:i/>
          <w:highlight w:val="yellow"/>
        </w:rPr>
        <w:t>MMWR Surveill Summ</w:t>
      </w:r>
      <w:r w:rsidRPr="00666310">
        <w:rPr>
          <w:highlight w:val="yellow"/>
        </w:rPr>
        <w:t xml:space="preserve"> 2018;</w:t>
      </w:r>
      <w:r w:rsidR="004A3EB7" w:rsidRPr="004A3EB7">
        <w:rPr>
          <w:b/>
          <w:highlight w:val="yellow"/>
        </w:rPr>
        <w:t>67</w:t>
      </w:r>
      <w:r w:rsidRPr="00666310">
        <w:rPr>
          <w:highlight w:val="yellow"/>
        </w:rPr>
        <w:t>:</w:t>
      </w:r>
      <w:r w:rsidR="004A3EB7" w:rsidRPr="004A3EB7">
        <w:rPr>
          <w:color w:val="auto"/>
          <w:highlight w:val="yellow"/>
        </w:rPr>
        <w:t>1</w:t>
      </w:r>
      <w:r w:rsidR="004A3EB7" w:rsidRPr="004A3EB7">
        <w:rPr>
          <w:color w:val="00B0F0"/>
          <w:highlight w:val="yellow"/>
        </w:rPr>
        <w:t>–</w:t>
      </w:r>
      <w:r w:rsidR="004A3EB7" w:rsidRPr="004A3EB7">
        <w:rPr>
          <w:color w:val="auto"/>
          <w:highlight w:val="yellow"/>
        </w:rPr>
        <w:t>28</w:t>
      </w:r>
      <w:r w:rsidRPr="00666310">
        <w:rPr>
          <w:highlight w:val="yellow"/>
        </w:rPr>
        <w:t>. https://doi.org/10.15585/mmwr.ss6704a1</w:t>
      </w:r>
      <w:commentRangeEnd w:id="2"/>
      <w:r>
        <w:rPr>
          <w:rStyle w:val="CommentReference"/>
          <w:rFonts w:asciiTheme="minorHAnsi" w:eastAsiaTheme="minorHAnsi" w:hAnsiTheme="minorHAnsi" w:cstheme="minorBidi"/>
          <w:color w:val="auto"/>
        </w:rPr>
        <w:commentReference w:id="2"/>
      </w:r>
    </w:p>
    <w:p w14:paraId="3FB75D02" w14:textId="1E3243FA" w:rsidR="00666310" w:rsidRPr="00666310" w:rsidRDefault="00666310" w:rsidP="00666310">
      <w:pPr>
        <w:pStyle w:val="65ReferencesTextstylesTextstyles"/>
        <w:rPr>
          <w:highlight w:val="yellow"/>
        </w:rPr>
      </w:pPr>
      <w:commentRangeStart w:id="3"/>
      <w:r w:rsidRPr="00666310">
        <w:rPr>
          <w:highlight w:val="yellow"/>
        </w:rPr>
        <w:t>3.</w:t>
      </w:r>
      <w:r w:rsidRPr="00666310">
        <w:rPr>
          <w:highlight w:val="yellow"/>
        </w:rPr>
        <w:tab/>
        <w:t xml:space="preserve">Pereira D, Peleteiro B, Araújo J, Branco J, Santos RA, Ramos E. The effect of osteoarthritis definition on prevalence and incidence estimates: a systematic review. </w:t>
      </w:r>
      <w:r w:rsidR="004A3EB7" w:rsidRPr="004A3EB7">
        <w:rPr>
          <w:i/>
          <w:highlight w:val="yellow"/>
        </w:rPr>
        <w:t>Osteoarthritis Cartilage</w:t>
      </w:r>
      <w:r w:rsidRPr="00666310">
        <w:rPr>
          <w:highlight w:val="yellow"/>
        </w:rPr>
        <w:t xml:space="preserve"> 2011;</w:t>
      </w:r>
      <w:r w:rsidR="004A3EB7" w:rsidRPr="004A3EB7">
        <w:rPr>
          <w:b/>
          <w:highlight w:val="yellow"/>
        </w:rPr>
        <w:t>19</w:t>
      </w:r>
      <w:r w:rsidRPr="00666310">
        <w:rPr>
          <w:highlight w:val="yellow"/>
        </w:rPr>
        <w:t>:</w:t>
      </w:r>
      <w:r w:rsidR="004A3EB7" w:rsidRPr="004A3EB7">
        <w:rPr>
          <w:color w:val="auto"/>
          <w:highlight w:val="yellow"/>
        </w:rPr>
        <w:t>1270</w:t>
      </w:r>
      <w:r w:rsidR="004A3EB7" w:rsidRPr="004A3EB7">
        <w:rPr>
          <w:color w:val="00B0F0"/>
          <w:highlight w:val="yellow"/>
        </w:rPr>
        <w:t>–</w:t>
      </w:r>
      <w:r w:rsidR="004A3EB7" w:rsidRPr="004A3EB7">
        <w:rPr>
          <w:color w:val="auto"/>
          <w:highlight w:val="yellow"/>
        </w:rPr>
        <w:t>85</w:t>
      </w:r>
      <w:r w:rsidRPr="00666310">
        <w:rPr>
          <w:highlight w:val="yellow"/>
        </w:rPr>
        <w:t>. https://doi.org/10.1016/j.joca.2011.08.009</w:t>
      </w:r>
      <w:commentRangeEnd w:id="3"/>
      <w:r>
        <w:rPr>
          <w:rStyle w:val="CommentReference"/>
          <w:rFonts w:asciiTheme="minorHAnsi" w:eastAsiaTheme="minorHAnsi" w:hAnsiTheme="minorHAnsi" w:cstheme="minorBidi"/>
          <w:color w:val="auto"/>
        </w:rPr>
        <w:commentReference w:id="3"/>
      </w:r>
    </w:p>
    <w:p w14:paraId="60623D89" w14:textId="096690CF" w:rsidR="00666310" w:rsidRPr="00666310" w:rsidRDefault="00666310" w:rsidP="00666310">
      <w:pPr>
        <w:pStyle w:val="65ReferencesTextstylesTextstyles"/>
        <w:rPr>
          <w:highlight w:val="yellow"/>
        </w:rPr>
      </w:pPr>
      <w:commentRangeStart w:id="4"/>
      <w:r w:rsidRPr="00666310">
        <w:rPr>
          <w:highlight w:val="yellow"/>
        </w:rPr>
        <w:t>4.</w:t>
      </w:r>
      <w:r w:rsidRPr="00666310">
        <w:rPr>
          <w:highlight w:val="yellow"/>
        </w:rPr>
        <w:tab/>
        <w:t>Nilsdotter AK, Toksvig-Larsen S, Roos EM. Knee arthroplasty: are patients</w:t>
      </w:r>
      <w:r w:rsidR="004A3EB7" w:rsidRPr="004A3EB7">
        <w:rPr>
          <w:highlight w:val="yellow"/>
        </w:rPr>
        <w:t>’</w:t>
      </w:r>
      <w:r w:rsidRPr="00666310">
        <w:rPr>
          <w:highlight w:val="yellow"/>
        </w:rPr>
        <w:t xml:space="preserve"> expectations fulfilled? A prospective study of pain and function in 102 patients with 5-year follow-up. </w:t>
      </w:r>
      <w:r w:rsidR="004A3EB7" w:rsidRPr="004A3EB7">
        <w:rPr>
          <w:i/>
          <w:highlight w:val="yellow"/>
        </w:rPr>
        <w:t>Acta Orthop</w:t>
      </w:r>
      <w:r w:rsidRPr="00666310">
        <w:rPr>
          <w:highlight w:val="yellow"/>
        </w:rPr>
        <w:t xml:space="preserve"> 2009;</w:t>
      </w:r>
      <w:r w:rsidR="004A3EB7" w:rsidRPr="004A3EB7">
        <w:rPr>
          <w:b/>
          <w:highlight w:val="yellow"/>
        </w:rPr>
        <w:t>80</w:t>
      </w:r>
      <w:r w:rsidRPr="00666310">
        <w:rPr>
          <w:highlight w:val="yellow"/>
        </w:rPr>
        <w:t>:</w:t>
      </w:r>
      <w:r w:rsidR="004A3EB7" w:rsidRPr="004A3EB7">
        <w:rPr>
          <w:color w:val="auto"/>
          <w:highlight w:val="yellow"/>
        </w:rPr>
        <w:t>55</w:t>
      </w:r>
      <w:r w:rsidR="004A3EB7" w:rsidRPr="004A3EB7">
        <w:rPr>
          <w:color w:val="00B0F0"/>
          <w:highlight w:val="yellow"/>
        </w:rPr>
        <w:t>–</w:t>
      </w:r>
      <w:r w:rsidR="004A3EB7" w:rsidRPr="004A3EB7">
        <w:rPr>
          <w:color w:val="auto"/>
          <w:highlight w:val="yellow"/>
        </w:rPr>
        <w:t>61</w:t>
      </w:r>
      <w:r w:rsidRPr="00666310">
        <w:rPr>
          <w:highlight w:val="yellow"/>
        </w:rPr>
        <w:t>. https://doi.org/10.1080/17453670902805007</w:t>
      </w:r>
      <w:commentRangeEnd w:id="4"/>
      <w:r>
        <w:rPr>
          <w:rStyle w:val="CommentReference"/>
          <w:rFonts w:asciiTheme="minorHAnsi" w:eastAsiaTheme="minorHAnsi" w:hAnsiTheme="minorHAnsi" w:cstheme="minorBidi"/>
          <w:color w:val="auto"/>
        </w:rPr>
        <w:commentReference w:id="4"/>
      </w:r>
    </w:p>
    <w:p w14:paraId="24A6CB99" w14:textId="689F3A61" w:rsidR="00666310" w:rsidRPr="00666310" w:rsidRDefault="00666310" w:rsidP="00666310">
      <w:pPr>
        <w:pStyle w:val="65ReferencesTextstylesTextstyles"/>
      </w:pPr>
      <w:r w:rsidRPr="00666310">
        <w:t>5.</w:t>
      </w:r>
      <w:r w:rsidR="004A3EB7">
        <w:tab/>
      </w:r>
      <w:r w:rsidR="00411DB7" w:rsidRPr="00666310">
        <w:t>National Joint Registry. 17th annual report. Hemel Hempstead: NJR Service Centre; 2020.</w:t>
      </w:r>
    </w:p>
    <w:p w14:paraId="2130CBD2" w14:textId="7F967A66" w:rsidR="00666310" w:rsidRPr="00666310" w:rsidRDefault="00666310" w:rsidP="00666310">
      <w:pPr>
        <w:pStyle w:val="65ReferencesTextstylesTextstyles"/>
      </w:pPr>
      <w:r w:rsidRPr="00666310">
        <w:t>6.</w:t>
      </w:r>
      <w:r w:rsidR="004A3EB7">
        <w:tab/>
      </w:r>
      <w:r w:rsidR="00411DB7" w:rsidRPr="00666310">
        <w:t>Scottish Arthroplasty Project. Annual report 2020. Edinburgh: NHS National Services Scotland; 2020.</w:t>
      </w:r>
    </w:p>
    <w:p w14:paraId="30A7EA78" w14:textId="3ECE1783" w:rsidR="00666310" w:rsidRPr="00666310" w:rsidRDefault="00666310" w:rsidP="00666310">
      <w:pPr>
        <w:pStyle w:val="65ReferencesTextstylesTextstyles"/>
        <w:rPr>
          <w:highlight w:val="yellow"/>
        </w:rPr>
      </w:pPr>
      <w:commentRangeStart w:id="5"/>
      <w:r w:rsidRPr="00666310">
        <w:rPr>
          <w:highlight w:val="yellow"/>
        </w:rPr>
        <w:t>7.</w:t>
      </w:r>
      <w:r w:rsidRPr="00666310">
        <w:rPr>
          <w:highlight w:val="yellow"/>
        </w:rPr>
        <w:tab/>
        <w:t xml:space="preserve">Culliford DJ, Maskell J, Kiran A, Judge A, Javaid MK, Cooper C, Arden NK. The lifetime risk of total hip and knee arthroplasty: results from the UK general practice research database. </w:t>
      </w:r>
      <w:r w:rsidR="004A3EB7" w:rsidRPr="004A3EB7">
        <w:rPr>
          <w:i/>
          <w:highlight w:val="yellow"/>
        </w:rPr>
        <w:t>Osteoarthritis Cartilage</w:t>
      </w:r>
      <w:r w:rsidRPr="00666310">
        <w:rPr>
          <w:highlight w:val="yellow"/>
        </w:rPr>
        <w:t xml:space="preserve"> 2012;</w:t>
      </w:r>
      <w:r w:rsidR="004A3EB7" w:rsidRPr="004A3EB7">
        <w:rPr>
          <w:b/>
          <w:highlight w:val="yellow"/>
        </w:rPr>
        <w:t>20</w:t>
      </w:r>
      <w:r w:rsidRPr="00666310">
        <w:rPr>
          <w:highlight w:val="yellow"/>
        </w:rPr>
        <w:t>:</w:t>
      </w:r>
      <w:r w:rsidR="004A3EB7" w:rsidRPr="004A3EB7">
        <w:rPr>
          <w:color w:val="auto"/>
          <w:highlight w:val="yellow"/>
        </w:rPr>
        <w:t>519</w:t>
      </w:r>
      <w:r w:rsidR="004A3EB7" w:rsidRPr="004A3EB7">
        <w:rPr>
          <w:color w:val="00B0F0"/>
          <w:highlight w:val="yellow"/>
        </w:rPr>
        <w:t>–</w:t>
      </w:r>
      <w:r w:rsidR="004A3EB7" w:rsidRPr="004A3EB7">
        <w:rPr>
          <w:color w:val="auto"/>
          <w:highlight w:val="yellow"/>
        </w:rPr>
        <w:t>24</w:t>
      </w:r>
      <w:r w:rsidRPr="00666310">
        <w:rPr>
          <w:highlight w:val="yellow"/>
        </w:rPr>
        <w:t>. https://doi.org/10.1016/j.joca.2012.02.636</w:t>
      </w:r>
      <w:commentRangeEnd w:id="5"/>
      <w:r>
        <w:rPr>
          <w:rStyle w:val="CommentReference"/>
          <w:rFonts w:asciiTheme="minorHAnsi" w:eastAsiaTheme="minorHAnsi" w:hAnsiTheme="minorHAnsi" w:cstheme="minorBidi"/>
          <w:color w:val="auto"/>
        </w:rPr>
        <w:commentReference w:id="5"/>
      </w:r>
    </w:p>
    <w:p w14:paraId="176B9E0F" w14:textId="6F2F29F7" w:rsidR="00666310" w:rsidRPr="00666310" w:rsidRDefault="00666310" w:rsidP="00666310">
      <w:pPr>
        <w:pStyle w:val="65ReferencesTextstylesTextstyles"/>
      </w:pPr>
      <w:r w:rsidRPr="00666310">
        <w:t>8.</w:t>
      </w:r>
      <w:r w:rsidR="004A3EB7">
        <w:tab/>
      </w:r>
      <w:r w:rsidR="00411DB7" w:rsidRPr="00666310">
        <w:t>Werner MU, Kongsgaard UE. I. Defining persistent post-surgical pain: is an update required? Br J Anaesth. 2014;113(1):1-4.</w:t>
      </w:r>
    </w:p>
    <w:p w14:paraId="61C0617B" w14:textId="1DB80389" w:rsidR="00666310" w:rsidRPr="00666310" w:rsidRDefault="00666310" w:rsidP="00666310">
      <w:pPr>
        <w:pStyle w:val="65ReferencesTextstylesTextstyles"/>
      </w:pPr>
      <w:r w:rsidRPr="00666310">
        <w:t>9.</w:t>
      </w:r>
      <w:r w:rsidR="004A3EB7">
        <w:tab/>
      </w:r>
      <w:r w:rsidR="00411DB7" w:rsidRPr="00666310">
        <w:t>Schug SA, Pogatzki-Zahn EM. Chronic pain after surgery or injury. Pain Clinical Updates. 2011;19(1):1-5.</w:t>
      </w:r>
    </w:p>
    <w:p w14:paraId="0875C76D" w14:textId="0368CCEB" w:rsidR="00666310" w:rsidRPr="00666310" w:rsidRDefault="00666310" w:rsidP="00666310">
      <w:pPr>
        <w:pStyle w:val="65ReferencesTextstylesTextstyles"/>
        <w:rPr>
          <w:highlight w:val="yellow"/>
        </w:rPr>
      </w:pPr>
      <w:commentRangeStart w:id="6"/>
      <w:r w:rsidRPr="00666310">
        <w:rPr>
          <w:highlight w:val="yellow"/>
        </w:rPr>
        <w:t>10.</w:t>
      </w:r>
      <w:r w:rsidRPr="00666310">
        <w:rPr>
          <w:highlight w:val="yellow"/>
        </w:rPr>
        <w:tab/>
        <w:t xml:space="preserve">Macrae WA. Chronic pain after surgery. </w:t>
      </w:r>
      <w:r w:rsidR="004A3EB7" w:rsidRPr="004A3EB7">
        <w:rPr>
          <w:i/>
          <w:highlight w:val="yellow"/>
        </w:rPr>
        <w:t>Br J Anaesth</w:t>
      </w:r>
      <w:r w:rsidRPr="00666310">
        <w:rPr>
          <w:highlight w:val="yellow"/>
        </w:rPr>
        <w:t xml:space="preserve"> 2001;</w:t>
      </w:r>
      <w:r w:rsidR="004A3EB7" w:rsidRPr="004A3EB7">
        <w:rPr>
          <w:b/>
          <w:highlight w:val="yellow"/>
        </w:rPr>
        <w:t>87</w:t>
      </w:r>
      <w:r w:rsidRPr="00666310">
        <w:rPr>
          <w:highlight w:val="yellow"/>
        </w:rPr>
        <w:t>:</w:t>
      </w:r>
      <w:r w:rsidR="004A3EB7" w:rsidRPr="004A3EB7">
        <w:rPr>
          <w:color w:val="auto"/>
          <w:highlight w:val="yellow"/>
        </w:rPr>
        <w:t>88</w:t>
      </w:r>
      <w:r w:rsidR="004A3EB7" w:rsidRPr="004A3EB7">
        <w:rPr>
          <w:color w:val="00B0F0"/>
          <w:highlight w:val="yellow"/>
        </w:rPr>
        <w:t>–</w:t>
      </w:r>
      <w:r w:rsidR="004A3EB7" w:rsidRPr="004A3EB7">
        <w:rPr>
          <w:color w:val="auto"/>
          <w:highlight w:val="yellow"/>
        </w:rPr>
        <w:t>98</w:t>
      </w:r>
      <w:r w:rsidRPr="00666310">
        <w:rPr>
          <w:highlight w:val="yellow"/>
        </w:rPr>
        <w:t>.</w:t>
      </w:r>
      <w:commentRangeEnd w:id="6"/>
      <w:r>
        <w:rPr>
          <w:rStyle w:val="CommentReference"/>
          <w:rFonts w:asciiTheme="minorHAnsi" w:eastAsiaTheme="minorHAnsi" w:hAnsiTheme="minorHAnsi" w:cstheme="minorBidi"/>
          <w:color w:val="auto"/>
        </w:rPr>
        <w:commentReference w:id="6"/>
      </w:r>
    </w:p>
    <w:p w14:paraId="0587FFB0" w14:textId="6689FC0E" w:rsidR="00666310" w:rsidRPr="00666310" w:rsidRDefault="00666310" w:rsidP="00666310">
      <w:pPr>
        <w:pStyle w:val="65ReferencesTextstylesTextstyles"/>
        <w:rPr>
          <w:highlight w:val="yellow"/>
        </w:rPr>
      </w:pPr>
      <w:commentRangeStart w:id="7"/>
      <w:r w:rsidRPr="00666310">
        <w:rPr>
          <w:highlight w:val="yellow"/>
        </w:rPr>
        <w:t>11.</w:t>
      </w:r>
      <w:r w:rsidRPr="00666310">
        <w:rPr>
          <w:highlight w:val="yellow"/>
        </w:rPr>
        <w:tab/>
        <w:t xml:space="preserve">Lenguerrand E, Wylde V, Gooberman-Hill R, Sayers A, Brunton L, Beswick AD, </w:t>
      </w:r>
      <w:r w:rsidR="004A3EB7" w:rsidRPr="004A3EB7">
        <w:rPr>
          <w:i/>
          <w:highlight w:val="yellow"/>
        </w:rPr>
        <w:t>et al</w:t>
      </w:r>
      <w:r w:rsidRPr="00666310">
        <w:rPr>
          <w:highlight w:val="yellow"/>
        </w:rPr>
        <w:t xml:space="preserve">. Trajectories of Pain and Function after Primary Hip and Knee Arthroplasty: The ADAPT Cohort Study. </w:t>
      </w:r>
      <w:r w:rsidR="004A3EB7" w:rsidRPr="004A3EB7">
        <w:rPr>
          <w:i/>
          <w:highlight w:val="yellow"/>
        </w:rPr>
        <w:t>PLOS One</w:t>
      </w:r>
      <w:r w:rsidRPr="00666310">
        <w:rPr>
          <w:highlight w:val="yellow"/>
        </w:rPr>
        <w:t xml:space="preserve"> 2016;</w:t>
      </w:r>
      <w:r w:rsidR="004A3EB7" w:rsidRPr="004A3EB7">
        <w:rPr>
          <w:b/>
          <w:highlight w:val="yellow"/>
        </w:rPr>
        <w:t>11</w:t>
      </w:r>
      <w:r w:rsidRPr="00666310">
        <w:rPr>
          <w:highlight w:val="yellow"/>
        </w:rPr>
        <w:t>:</w:t>
      </w:r>
      <w:r w:rsidR="004A3EB7" w:rsidRPr="004A3EB7">
        <w:rPr>
          <w:color w:val="auto"/>
          <w:highlight w:val="yellow"/>
        </w:rPr>
        <w:t>e0149306</w:t>
      </w:r>
      <w:r w:rsidRPr="00666310">
        <w:rPr>
          <w:highlight w:val="yellow"/>
        </w:rPr>
        <w:t>. https://doi.org/10.1371/journal.pone.0149306</w:t>
      </w:r>
      <w:commentRangeEnd w:id="7"/>
      <w:r>
        <w:rPr>
          <w:rStyle w:val="CommentReference"/>
          <w:rFonts w:asciiTheme="minorHAnsi" w:eastAsiaTheme="minorHAnsi" w:hAnsiTheme="minorHAnsi" w:cstheme="minorBidi"/>
          <w:color w:val="auto"/>
        </w:rPr>
        <w:commentReference w:id="7"/>
      </w:r>
    </w:p>
    <w:p w14:paraId="1D0D18F8" w14:textId="56979720" w:rsidR="00666310" w:rsidRPr="00666310" w:rsidRDefault="00666310" w:rsidP="00666310">
      <w:pPr>
        <w:pStyle w:val="65ReferencesTextstylesTextstyles"/>
        <w:rPr>
          <w:highlight w:val="yellow"/>
        </w:rPr>
      </w:pPr>
      <w:commentRangeStart w:id="8"/>
      <w:r w:rsidRPr="00666310">
        <w:rPr>
          <w:highlight w:val="yellow"/>
        </w:rPr>
        <w:t>12.</w:t>
      </w:r>
      <w:r w:rsidRPr="00666310">
        <w:rPr>
          <w:highlight w:val="yellow"/>
        </w:rPr>
        <w:tab/>
        <w:t xml:space="preserve">Ethgen O, Bruyère O, Richy F, Dardennes C, Reginster JY. Health-related quality of life in total hip and total knee arthroplasty. A qualitative and systematic review of the literature. </w:t>
      </w:r>
      <w:r w:rsidR="004A3EB7" w:rsidRPr="004A3EB7">
        <w:rPr>
          <w:i/>
          <w:highlight w:val="yellow"/>
        </w:rPr>
        <w:t>J Bone Joint Surg Am</w:t>
      </w:r>
      <w:r w:rsidRPr="00666310">
        <w:rPr>
          <w:highlight w:val="yellow"/>
        </w:rPr>
        <w:t xml:space="preserve"> 2004;</w:t>
      </w:r>
      <w:r w:rsidR="004A3EB7" w:rsidRPr="004A3EB7">
        <w:rPr>
          <w:b/>
          <w:highlight w:val="yellow"/>
        </w:rPr>
        <w:t>86</w:t>
      </w:r>
      <w:r w:rsidRPr="00666310">
        <w:rPr>
          <w:highlight w:val="yellow"/>
        </w:rPr>
        <w:t>:</w:t>
      </w:r>
      <w:r w:rsidR="004A3EB7" w:rsidRPr="004A3EB7">
        <w:rPr>
          <w:color w:val="auto"/>
          <w:highlight w:val="yellow"/>
        </w:rPr>
        <w:t>963</w:t>
      </w:r>
      <w:r w:rsidR="004A3EB7" w:rsidRPr="004A3EB7">
        <w:rPr>
          <w:color w:val="00B0F0"/>
          <w:highlight w:val="yellow"/>
        </w:rPr>
        <w:t>–</w:t>
      </w:r>
      <w:r w:rsidR="004A3EB7" w:rsidRPr="004A3EB7">
        <w:rPr>
          <w:color w:val="auto"/>
          <w:highlight w:val="yellow"/>
        </w:rPr>
        <w:t>74</w:t>
      </w:r>
      <w:r w:rsidRPr="00666310">
        <w:rPr>
          <w:highlight w:val="yellow"/>
        </w:rPr>
        <w:t>. https://doi.org/10.2106/00004623-200405000-00012</w:t>
      </w:r>
      <w:commentRangeEnd w:id="8"/>
      <w:r>
        <w:rPr>
          <w:rStyle w:val="CommentReference"/>
          <w:rFonts w:asciiTheme="minorHAnsi" w:eastAsiaTheme="minorHAnsi" w:hAnsiTheme="minorHAnsi" w:cstheme="minorBidi"/>
          <w:color w:val="auto"/>
        </w:rPr>
        <w:commentReference w:id="8"/>
      </w:r>
    </w:p>
    <w:p w14:paraId="0C4559B7" w14:textId="542B6F12" w:rsidR="00666310" w:rsidRPr="00666310" w:rsidRDefault="00666310" w:rsidP="00666310">
      <w:pPr>
        <w:pStyle w:val="65ReferencesTextstylesTextstyles"/>
      </w:pPr>
      <w:r w:rsidRPr="00666310">
        <w:t>13.</w:t>
      </w:r>
      <w:r w:rsidR="004A3EB7">
        <w:tab/>
      </w:r>
      <w:r w:rsidR="00411DB7" w:rsidRPr="00666310">
        <w:t>Scott CEH, Howie CR, MacDonald D, Biant LC. Predicting dissatisfaction following total knee replacement. J Bone Joint Surg Br. 2010;92-B(9):1253-8.</w:t>
      </w:r>
    </w:p>
    <w:p w14:paraId="2B893587" w14:textId="39707D10" w:rsidR="00666310" w:rsidRPr="00666310" w:rsidRDefault="00666310" w:rsidP="00666310">
      <w:pPr>
        <w:pStyle w:val="65ReferencesTextstylesTextstyles"/>
      </w:pPr>
      <w:r w:rsidRPr="00666310">
        <w:t>14.</w:t>
      </w:r>
      <w:r w:rsidR="004A3EB7">
        <w:tab/>
      </w:r>
      <w:r w:rsidR="00411DB7" w:rsidRPr="00666310">
        <w:t xml:space="preserve">Jeffery AE, Wylde V, Blom AW, Horwood JP. </w:t>
      </w:r>
      <w:r w:rsidR="004A3EB7" w:rsidRPr="004A3EB7">
        <w:t>‘</w:t>
      </w:r>
      <w:r w:rsidR="00411DB7" w:rsidRPr="00666310">
        <w:t>It</w:t>
      </w:r>
      <w:r w:rsidR="004A3EB7" w:rsidRPr="004A3EB7">
        <w:t>’</w:t>
      </w:r>
      <w:r w:rsidR="00411DB7" w:rsidRPr="00666310">
        <w:t>s there and I</w:t>
      </w:r>
      <w:r w:rsidR="004A3EB7" w:rsidRPr="004A3EB7">
        <w:t>’</w:t>
      </w:r>
      <w:r w:rsidR="00411DB7" w:rsidRPr="00666310">
        <w:t>m stuck with it</w:t>
      </w:r>
      <w:r w:rsidR="004A3EB7" w:rsidRPr="004A3EB7">
        <w:t>’</w:t>
      </w:r>
      <w:r w:rsidR="00411DB7" w:rsidRPr="00666310">
        <w:t>: Patients</w:t>
      </w:r>
      <w:r w:rsidR="004A3EB7" w:rsidRPr="004A3EB7">
        <w:t>’</w:t>
      </w:r>
      <w:r w:rsidR="00411DB7" w:rsidRPr="00666310">
        <w:t xml:space="preserve"> experiences of chronic pain following total knee replacement surgery. Arthritis Care Res. 2011;63(2):286-92.</w:t>
      </w:r>
    </w:p>
    <w:p w14:paraId="45E97684" w14:textId="108D9200" w:rsidR="00666310" w:rsidRPr="00666310" w:rsidRDefault="00666310" w:rsidP="00666310">
      <w:pPr>
        <w:pStyle w:val="65ReferencesTextstylesTextstyles"/>
        <w:rPr>
          <w:highlight w:val="yellow"/>
        </w:rPr>
      </w:pPr>
      <w:commentRangeStart w:id="9"/>
      <w:r w:rsidRPr="00666310">
        <w:rPr>
          <w:highlight w:val="yellow"/>
        </w:rPr>
        <w:t>15.</w:t>
      </w:r>
      <w:r w:rsidRPr="00666310">
        <w:rPr>
          <w:highlight w:val="yellow"/>
        </w:rPr>
        <w:tab/>
        <w:t xml:space="preserve">Woolhead GM, Donovan JL, Dieppe PA. Outcomes of total knee replacement: a qualitative study. </w:t>
      </w:r>
      <w:r w:rsidR="004A3EB7" w:rsidRPr="004A3EB7">
        <w:rPr>
          <w:i/>
          <w:highlight w:val="yellow"/>
        </w:rPr>
        <w:t>Rheumatology</w:t>
      </w:r>
      <w:r w:rsidRPr="00666310">
        <w:rPr>
          <w:highlight w:val="yellow"/>
        </w:rPr>
        <w:t xml:space="preserve"> 2005;</w:t>
      </w:r>
      <w:r w:rsidR="004A3EB7" w:rsidRPr="004A3EB7">
        <w:rPr>
          <w:b/>
          <w:highlight w:val="yellow"/>
        </w:rPr>
        <w:t>44</w:t>
      </w:r>
      <w:r w:rsidRPr="00666310">
        <w:rPr>
          <w:highlight w:val="yellow"/>
        </w:rPr>
        <w:t>:</w:t>
      </w:r>
      <w:r w:rsidR="004A3EB7" w:rsidRPr="004A3EB7">
        <w:rPr>
          <w:color w:val="auto"/>
          <w:highlight w:val="yellow"/>
        </w:rPr>
        <w:t>1032</w:t>
      </w:r>
      <w:r w:rsidR="004A3EB7" w:rsidRPr="004A3EB7">
        <w:rPr>
          <w:color w:val="00B0F0"/>
          <w:highlight w:val="yellow"/>
        </w:rPr>
        <w:t>–</w:t>
      </w:r>
      <w:r w:rsidR="004A3EB7" w:rsidRPr="004A3EB7">
        <w:rPr>
          <w:color w:val="auto"/>
          <w:highlight w:val="yellow"/>
        </w:rPr>
        <w:t>7</w:t>
      </w:r>
      <w:r w:rsidRPr="00666310">
        <w:rPr>
          <w:highlight w:val="yellow"/>
        </w:rPr>
        <w:t>.</w:t>
      </w:r>
      <w:commentRangeEnd w:id="9"/>
      <w:r>
        <w:rPr>
          <w:rStyle w:val="CommentReference"/>
          <w:rFonts w:asciiTheme="minorHAnsi" w:eastAsiaTheme="minorHAnsi" w:hAnsiTheme="minorHAnsi" w:cstheme="minorBidi"/>
          <w:color w:val="auto"/>
        </w:rPr>
        <w:commentReference w:id="9"/>
      </w:r>
    </w:p>
    <w:p w14:paraId="428AD999" w14:textId="2226C8A4" w:rsidR="00666310" w:rsidRPr="00666310" w:rsidRDefault="00666310" w:rsidP="00666310">
      <w:pPr>
        <w:pStyle w:val="65ReferencesTextstylesTextstyles"/>
        <w:rPr>
          <w:highlight w:val="yellow"/>
        </w:rPr>
      </w:pPr>
      <w:commentRangeStart w:id="10"/>
      <w:r w:rsidRPr="00666310">
        <w:rPr>
          <w:highlight w:val="yellow"/>
        </w:rPr>
        <w:t>16.</w:t>
      </w:r>
      <w:r w:rsidRPr="00666310">
        <w:rPr>
          <w:highlight w:val="yellow"/>
        </w:rPr>
        <w:tab/>
        <w:t xml:space="preserve">Beswick AD, Wylde V, Gooberman-Hill R, Blom A, Dieppe P. What proportion of patients report long-term pain after total hip or knee replacement for osteoarthritis? A systematic review of prospective studies in unselected patients. </w:t>
      </w:r>
      <w:r w:rsidR="004A3EB7" w:rsidRPr="004A3EB7">
        <w:rPr>
          <w:i/>
          <w:highlight w:val="yellow"/>
        </w:rPr>
        <w:t>BMJ Open</w:t>
      </w:r>
      <w:r w:rsidRPr="00666310">
        <w:rPr>
          <w:highlight w:val="yellow"/>
        </w:rPr>
        <w:t xml:space="preserve"> 2012;</w:t>
      </w:r>
      <w:r w:rsidR="004A3EB7" w:rsidRPr="004A3EB7">
        <w:rPr>
          <w:b/>
          <w:highlight w:val="yellow"/>
        </w:rPr>
        <w:t>2</w:t>
      </w:r>
      <w:r w:rsidRPr="00666310">
        <w:rPr>
          <w:highlight w:val="yellow"/>
        </w:rPr>
        <w:t>:</w:t>
      </w:r>
      <w:r w:rsidR="004A3EB7" w:rsidRPr="004A3EB7">
        <w:rPr>
          <w:color w:val="auto"/>
          <w:highlight w:val="yellow"/>
        </w:rPr>
        <w:t>e000435</w:t>
      </w:r>
      <w:r w:rsidRPr="00666310">
        <w:rPr>
          <w:highlight w:val="yellow"/>
        </w:rPr>
        <w:t>. https://doi.org/10.1136/bmjopen-2011-000435</w:t>
      </w:r>
      <w:commentRangeEnd w:id="10"/>
      <w:r>
        <w:rPr>
          <w:rStyle w:val="CommentReference"/>
          <w:rFonts w:asciiTheme="minorHAnsi" w:eastAsiaTheme="minorHAnsi" w:hAnsiTheme="minorHAnsi" w:cstheme="minorBidi"/>
          <w:color w:val="auto"/>
        </w:rPr>
        <w:commentReference w:id="10"/>
      </w:r>
    </w:p>
    <w:p w14:paraId="7FCCBC06" w14:textId="44EC0FB9" w:rsidR="00666310" w:rsidRPr="00666310" w:rsidRDefault="00666310" w:rsidP="00666310">
      <w:pPr>
        <w:pStyle w:val="65ReferencesTextstylesTextstyles"/>
        <w:rPr>
          <w:highlight w:val="yellow"/>
        </w:rPr>
      </w:pPr>
      <w:commentRangeStart w:id="11"/>
      <w:r w:rsidRPr="00666310">
        <w:rPr>
          <w:highlight w:val="yellow"/>
        </w:rPr>
        <w:t>17.</w:t>
      </w:r>
      <w:r w:rsidRPr="00666310">
        <w:rPr>
          <w:highlight w:val="yellow"/>
        </w:rPr>
        <w:tab/>
        <w:t xml:space="preserve">Baker PN, van der Meulen JH, Lewsey J, Gregg PJ, National Joint Registry for England and Wales. The role of pain and function in determining patient satisfaction after total knee replacement. Data from the National Joint Registry for England and Wales. </w:t>
      </w:r>
      <w:r w:rsidR="004A3EB7" w:rsidRPr="004A3EB7">
        <w:rPr>
          <w:i/>
          <w:highlight w:val="yellow"/>
        </w:rPr>
        <w:t>J Bone Joint Surg Br</w:t>
      </w:r>
      <w:r w:rsidRPr="00666310">
        <w:rPr>
          <w:highlight w:val="yellow"/>
        </w:rPr>
        <w:t xml:space="preserve"> 2007;</w:t>
      </w:r>
      <w:r w:rsidR="004A3EB7" w:rsidRPr="004A3EB7">
        <w:rPr>
          <w:b/>
          <w:highlight w:val="yellow"/>
        </w:rPr>
        <w:t>89</w:t>
      </w:r>
      <w:r w:rsidRPr="00666310">
        <w:rPr>
          <w:highlight w:val="yellow"/>
        </w:rPr>
        <w:t>:</w:t>
      </w:r>
      <w:r w:rsidR="004A3EB7" w:rsidRPr="004A3EB7">
        <w:rPr>
          <w:color w:val="auto"/>
          <w:highlight w:val="yellow"/>
        </w:rPr>
        <w:t>893</w:t>
      </w:r>
      <w:r w:rsidR="004A3EB7" w:rsidRPr="004A3EB7">
        <w:rPr>
          <w:color w:val="00B0F0"/>
          <w:highlight w:val="yellow"/>
        </w:rPr>
        <w:t>–</w:t>
      </w:r>
      <w:r w:rsidR="004A3EB7" w:rsidRPr="004A3EB7">
        <w:rPr>
          <w:color w:val="auto"/>
          <w:highlight w:val="yellow"/>
        </w:rPr>
        <w:t>900</w:t>
      </w:r>
      <w:r w:rsidRPr="00666310">
        <w:rPr>
          <w:highlight w:val="yellow"/>
        </w:rPr>
        <w:t>.</w:t>
      </w:r>
      <w:commentRangeEnd w:id="11"/>
      <w:r>
        <w:rPr>
          <w:rStyle w:val="CommentReference"/>
          <w:rFonts w:asciiTheme="minorHAnsi" w:eastAsiaTheme="minorHAnsi" w:hAnsiTheme="minorHAnsi" w:cstheme="minorBidi"/>
          <w:color w:val="auto"/>
        </w:rPr>
        <w:commentReference w:id="11"/>
      </w:r>
    </w:p>
    <w:p w14:paraId="14E9981B" w14:textId="5C76B4B6" w:rsidR="00666310" w:rsidRPr="00666310" w:rsidRDefault="00666310" w:rsidP="00666310">
      <w:pPr>
        <w:pStyle w:val="65ReferencesTextstylesTextstyles"/>
        <w:rPr>
          <w:highlight w:val="yellow"/>
        </w:rPr>
      </w:pPr>
      <w:commentRangeStart w:id="12"/>
      <w:r w:rsidRPr="00666310">
        <w:rPr>
          <w:highlight w:val="yellow"/>
        </w:rPr>
        <w:lastRenderedPageBreak/>
        <w:t>18.</w:t>
      </w:r>
      <w:r w:rsidRPr="00666310">
        <w:rPr>
          <w:highlight w:val="yellow"/>
        </w:rPr>
        <w:tab/>
        <w:t xml:space="preserve">Wylde V, Hewlett S, Learmonth ID, Dieppe P. Persistent pain after joint replacement: prevalence, sensory qualities, and postoperative determinants. </w:t>
      </w:r>
      <w:r w:rsidR="004A3EB7" w:rsidRPr="004A3EB7">
        <w:rPr>
          <w:i/>
          <w:highlight w:val="yellow"/>
        </w:rPr>
        <w:t>Pain</w:t>
      </w:r>
      <w:r w:rsidRPr="00666310">
        <w:rPr>
          <w:highlight w:val="yellow"/>
        </w:rPr>
        <w:t xml:space="preserve"> 2011;</w:t>
      </w:r>
      <w:r w:rsidR="004A3EB7" w:rsidRPr="004A3EB7">
        <w:rPr>
          <w:b/>
          <w:highlight w:val="yellow"/>
        </w:rPr>
        <w:t>152</w:t>
      </w:r>
      <w:r w:rsidRPr="00666310">
        <w:rPr>
          <w:highlight w:val="yellow"/>
        </w:rPr>
        <w:t>:</w:t>
      </w:r>
      <w:r w:rsidR="004A3EB7" w:rsidRPr="004A3EB7">
        <w:rPr>
          <w:color w:val="auto"/>
          <w:highlight w:val="yellow"/>
        </w:rPr>
        <w:t>566</w:t>
      </w:r>
      <w:r w:rsidR="004A3EB7">
        <w:rPr>
          <w:color w:val="00B0F0"/>
          <w:highlight w:val="yellow"/>
        </w:rPr>
        <w:t>–</w:t>
      </w:r>
      <w:r w:rsidR="004A3EB7" w:rsidRPr="004A3EB7">
        <w:rPr>
          <w:color w:val="auto"/>
          <w:highlight w:val="yellow"/>
        </w:rPr>
        <w:t>72</w:t>
      </w:r>
      <w:r w:rsidRPr="00666310">
        <w:rPr>
          <w:highlight w:val="yellow"/>
        </w:rPr>
        <w:t>. https://doi.org/10.1016/j.pain.2010.11.023</w:t>
      </w:r>
      <w:commentRangeEnd w:id="12"/>
      <w:r>
        <w:rPr>
          <w:rStyle w:val="CommentReference"/>
          <w:rFonts w:asciiTheme="minorHAnsi" w:eastAsiaTheme="minorHAnsi" w:hAnsiTheme="minorHAnsi" w:cstheme="minorBidi"/>
          <w:color w:val="auto"/>
        </w:rPr>
        <w:commentReference w:id="12"/>
      </w:r>
    </w:p>
    <w:p w14:paraId="48DF157F" w14:textId="19EFF400" w:rsidR="00666310" w:rsidRPr="00666310" w:rsidRDefault="00666310" w:rsidP="00666310">
      <w:pPr>
        <w:pStyle w:val="65ReferencesTextstylesTextstyles"/>
      </w:pPr>
      <w:r w:rsidRPr="00666310">
        <w:t>19.</w:t>
      </w:r>
      <w:r w:rsidR="004A3EB7">
        <w:tab/>
      </w:r>
      <w:r w:rsidR="00411DB7" w:rsidRPr="00666310">
        <w:t>Ghomrawi HMK, Mancuso CA, Dunning A, Gonzalez Della Valle A, Alexiades M, Cornell C, et al. Do surgeon expectations predict clinically important improvements in WOMAC scores after THA and TKA? Clin Orthop Relat Res. 2017;475(9):2150-8.</w:t>
      </w:r>
    </w:p>
    <w:p w14:paraId="5B783DF1" w14:textId="13EEED33" w:rsidR="00666310" w:rsidRPr="00666310" w:rsidRDefault="00666310" w:rsidP="00666310">
      <w:pPr>
        <w:pStyle w:val="65ReferencesTextstylesTextstyles"/>
        <w:rPr>
          <w:highlight w:val="yellow"/>
        </w:rPr>
      </w:pPr>
      <w:commentRangeStart w:id="13"/>
      <w:r w:rsidRPr="00666310">
        <w:rPr>
          <w:highlight w:val="yellow"/>
        </w:rPr>
        <w:t>20.</w:t>
      </w:r>
      <w:r w:rsidRPr="00666310">
        <w:rPr>
          <w:highlight w:val="yellow"/>
        </w:rPr>
        <w:tab/>
        <w:t xml:space="preserve">Pinedo-Villanueva R, Khalid S, Wylde V, Gooberman-Hill R, Soni A, Judge A. Identifying individuals with chronic pain after knee replacement: a population-cohort, cluster-analysis of Oxford knee scores in 128,145 patients from the English National Health Service. </w:t>
      </w:r>
      <w:r w:rsidR="004A3EB7" w:rsidRPr="004A3EB7">
        <w:rPr>
          <w:i/>
          <w:highlight w:val="yellow"/>
        </w:rPr>
        <w:t>BMC Musculoskelet Disord</w:t>
      </w:r>
      <w:r w:rsidRPr="00666310">
        <w:rPr>
          <w:highlight w:val="yellow"/>
        </w:rPr>
        <w:t xml:space="preserve"> 2018;</w:t>
      </w:r>
      <w:r w:rsidR="004A3EB7" w:rsidRPr="004A3EB7">
        <w:rPr>
          <w:b/>
          <w:highlight w:val="yellow"/>
        </w:rPr>
        <w:t>19</w:t>
      </w:r>
      <w:r w:rsidRPr="00666310">
        <w:rPr>
          <w:highlight w:val="yellow"/>
        </w:rPr>
        <w:t>:</w:t>
      </w:r>
      <w:r w:rsidR="004A3EB7" w:rsidRPr="004A3EB7">
        <w:rPr>
          <w:color w:val="auto"/>
          <w:highlight w:val="yellow"/>
        </w:rPr>
        <w:t>354</w:t>
      </w:r>
      <w:r w:rsidRPr="00666310">
        <w:rPr>
          <w:highlight w:val="yellow"/>
        </w:rPr>
        <w:t>. https://doi.org/10.1186/s12891-018-2270-9</w:t>
      </w:r>
      <w:commentRangeEnd w:id="13"/>
      <w:r>
        <w:rPr>
          <w:rStyle w:val="CommentReference"/>
          <w:rFonts w:asciiTheme="minorHAnsi" w:eastAsiaTheme="minorHAnsi" w:hAnsiTheme="minorHAnsi" w:cstheme="minorBidi"/>
          <w:color w:val="auto"/>
        </w:rPr>
        <w:commentReference w:id="13"/>
      </w:r>
    </w:p>
    <w:p w14:paraId="24886EC9" w14:textId="2BCDB9C1" w:rsidR="00666310" w:rsidRPr="00666310" w:rsidRDefault="00666310" w:rsidP="00666310">
      <w:pPr>
        <w:pStyle w:val="65ReferencesTextstylesTextstyles"/>
        <w:rPr>
          <w:highlight w:val="yellow"/>
        </w:rPr>
      </w:pPr>
      <w:commentRangeStart w:id="14"/>
      <w:r w:rsidRPr="00666310">
        <w:rPr>
          <w:highlight w:val="yellow"/>
        </w:rPr>
        <w:t>21.</w:t>
      </w:r>
      <w:r w:rsidRPr="00666310">
        <w:rPr>
          <w:highlight w:val="yellow"/>
        </w:rPr>
        <w:tab/>
        <w:t xml:space="preserve">Rice DA, Kluger MT, McNair PJ, Lewis GN, Somogyi AA, Borotkanics R, </w:t>
      </w:r>
      <w:r w:rsidR="004A3EB7" w:rsidRPr="004A3EB7">
        <w:rPr>
          <w:i/>
          <w:highlight w:val="yellow"/>
        </w:rPr>
        <w:t>et al</w:t>
      </w:r>
      <w:r w:rsidRPr="00666310">
        <w:rPr>
          <w:highlight w:val="yellow"/>
        </w:rPr>
        <w:t xml:space="preserve">. Persistent postoperative pain after total knee arthroplasty: a prospective cohort study of potential risk factors. </w:t>
      </w:r>
      <w:r w:rsidR="004A3EB7" w:rsidRPr="004A3EB7">
        <w:rPr>
          <w:i/>
          <w:highlight w:val="yellow"/>
        </w:rPr>
        <w:t>Br J Anaesth</w:t>
      </w:r>
      <w:r w:rsidRPr="00666310">
        <w:rPr>
          <w:highlight w:val="yellow"/>
        </w:rPr>
        <w:t xml:space="preserve"> 2018;</w:t>
      </w:r>
      <w:r w:rsidR="004A3EB7" w:rsidRPr="004A3EB7">
        <w:rPr>
          <w:b/>
          <w:highlight w:val="yellow"/>
        </w:rPr>
        <w:t>121</w:t>
      </w:r>
      <w:r w:rsidRPr="00666310">
        <w:rPr>
          <w:highlight w:val="yellow"/>
        </w:rPr>
        <w:t>:</w:t>
      </w:r>
      <w:r w:rsidR="004A3EB7" w:rsidRPr="004A3EB7">
        <w:rPr>
          <w:color w:val="auto"/>
          <w:highlight w:val="yellow"/>
        </w:rPr>
        <w:t>804</w:t>
      </w:r>
      <w:r w:rsidR="004A3EB7">
        <w:rPr>
          <w:color w:val="00B0F0"/>
          <w:highlight w:val="yellow"/>
        </w:rPr>
        <w:t>–</w:t>
      </w:r>
      <w:r w:rsidR="004A3EB7" w:rsidRPr="004A3EB7">
        <w:rPr>
          <w:color w:val="auto"/>
          <w:highlight w:val="yellow"/>
        </w:rPr>
        <w:t>12</w:t>
      </w:r>
      <w:r w:rsidRPr="00666310">
        <w:rPr>
          <w:highlight w:val="yellow"/>
        </w:rPr>
        <w:t>.</w:t>
      </w:r>
      <w:commentRangeEnd w:id="14"/>
      <w:r>
        <w:rPr>
          <w:rStyle w:val="CommentReference"/>
          <w:rFonts w:asciiTheme="minorHAnsi" w:eastAsiaTheme="minorHAnsi" w:hAnsiTheme="minorHAnsi" w:cstheme="minorBidi"/>
          <w:color w:val="auto"/>
        </w:rPr>
        <w:commentReference w:id="14"/>
      </w:r>
    </w:p>
    <w:p w14:paraId="496E2F18" w14:textId="54CFE802" w:rsidR="00666310" w:rsidRPr="00666310" w:rsidRDefault="00666310" w:rsidP="00666310">
      <w:pPr>
        <w:pStyle w:val="65ReferencesTextstylesTextstyles"/>
        <w:rPr>
          <w:highlight w:val="yellow"/>
        </w:rPr>
      </w:pPr>
      <w:commentRangeStart w:id="15"/>
      <w:r w:rsidRPr="00666310">
        <w:rPr>
          <w:highlight w:val="yellow"/>
        </w:rPr>
        <w:t>22.</w:t>
      </w:r>
      <w:r w:rsidRPr="00666310">
        <w:rPr>
          <w:highlight w:val="yellow"/>
        </w:rPr>
        <w:tab/>
        <w:t xml:space="preserve">Vina ER, Hannon MJ, Kwoh CK. Improvement following total knee replacement surgery: Exploring preoperative symptoms and change in preoperative symptoms. </w:t>
      </w:r>
      <w:r w:rsidR="004A3EB7" w:rsidRPr="004A3EB7">
        <w:rPr>
          <w:i/>
          <w:highlight w:val="yellow"/>
        </w:rPr>
        <w:t>Semin Arthritis Rheum</w:t>
      </w:r>
      <w:r w:rsidRPr="00666310">
        <w:rPr>
          <w:highlight w:val="yellow"/>
        </w:rPr>
        <w:t xml:space="preserve"> 2016;</w:t>
      </w:r>
      <w:r w:rsidR="004A3EB7" w:rsidRPr="004A3EB7">
        <w:rPr>
          <w:b/>
          <w:highlight w:val="yellow"/>
        </w:rPr>
        <w:t>45</w:t>
      </w:r>
      <w:r w:rsidRPr="00666310">
        <w:rPr>
          <w:highlight w:val="yellow"/>
        </w:rPr>
        <w:t>:</w:t>
      </w:r>
      <w:r w:rsidR="004A3EB7" w:rsidRPr="004A3EB7">
        <w:rPr>
          <w:color w:val="auto"/>
          <w:highlight w:val="yellow"/>
        </w:rPr>
        <w:t>547</w:t>
      </w:r>
      <w:r w:rsidR="004A3EB7" w:rsidRPr="004A3EB7">
        <w:rPr>
          <w:color w:val="00B0F0"/>
          <w:highlight w:val="yellow"/>
        </w:rPr>
        <w:t>–</w:t>
      </w:r>
      <w:r w:rsidR="004A3EB7" w:rsidRPr="004A3EB7">
        <w:rPr>
          <w:color w:val="auto"/>
          <w:highlight w:val="yellow"/>
        </w:rPr>
        <w:t>55</w:t>
      </w:r>
      <w:r w:rsidRPr="00666310">
        <w:rPr>
          <w:highlight w:val="yellow"/>
        </w:rPr>
        <w:t>. https://doi.org/10.1016/j.semarthrit.2015.10.002</w:t>
      </w:r>
      <w:commentRangeEnd w:id="15"/>
      <w:r>
        <w:rPr>
          <w:rStyle w:val="CommentReference"/>
          <w:rFonts w:asciiTheme="minorHAnsi" w:eastAsiaTheme="minorHAnsi" w:hAnsiTheme="minorHAnsi" w:cstheme="minorBidi"/>
          <w:color w:val="auto"/>
        </w:rPr>
        <w:commentReference w:id="15"/>
      </w:r>
    </w:p>
    <w:p w14:paraId="56D39830" w14:textId="4704802C" w:rsidR="004A3EB7" w:rsidRPr="004A3EB7" w:rsidRDefault="004A3EB7" w:rsidP="00666310">
      <w:pPr>
        <w:pStyle w:val="65ReferencesTextstylesTextstyles"/>
        <w:rPr>
          <w:highlight w:val="yellow"/>
        </w:rPr>
      </w:pPr>
      <w:commentRangeStart w:id="16"/>
      <w:commentRangeStart w:id="17"/>
      <w:r w:rsidRPr="004A3EB7">
        <w:rPr>
          <w:highlight w:val="yellow"/>
        </w:rPr>
        <w:t>23.</w:t>
      </w:r>
      <w:r w:rsidRPr="004A3EB7">
        <w:rPr>
          <w:highlight w:val="yellow"/>
        </w:rPr>
        <w:tab/>
        <w:t xml:space="preserve">Jørgensen CC, Petersen M, Kehlet H, Aasvang EK. Analgesic consumption trajectories in 8975 patients 1 year after fast-track total hip or knee arthroplasty [published online ahead of print April 20 2018]. </w:t>
      </w:r>
      <w:r w:rsidRPr="004A3EB7">
        <w:rPr>
          <w:i/>
          <w:highlight w:val="yellow"/>
        </w:rPr>
        <w:t>Eur J Pain</w:t>
      </w:r>
      <w:r w:rsidRPr="004A3EB7">
        <w:rPr>
          <w:highlight w:val="yellow"/>
        </w:rPr>
        <w:t xml:space="preserve"> 2018. https://doi.org/10.1002/ejp.1232</w:t>
      </w:r>
      <w:commentRangeEnd w:id="16"/>
      <w:r>
        <w:rPr>
          <w:rStyle w:val="CommentReference"/>
          <w:rFonts w:asciiTheme="minorHAnsi" w:eastAsiaTheme="minorHAnsi" w:hAnsiTheme="minorHAnsi" w:cstheme="minorBidi"/>
          <w:color w:val="auto"/>
        </w:rPr>
        <w:commentReference w:id="16"/>
      </w:r>
      <w:commentRangeEnd w:id="17"/>
      <w:r>
        <w:rPr>
          <w:rStyle w:val="CommentReference"/>
          <w:rFonts w:asciiTheme="minorHAnsi" w:eastAsiaTheme="minorHAnsi" w:hAnsiTheme="minorHAnsi" w:cstheme="minorBidi"/>
          <w:color w:val="auto"/>
        </w:rPr>
        <w:commentReference w:id="17"/>
      </w:r>
    </w:p>
    <w:p w14:paraId="54EBD07E" w14:textId="12B603F6" w:rsidR="004A3EB7" w:rsidRPr="004A3EB7" w:rsidRDefault="004A3EB7" w:rsidP="00666310">
      <w:pPr>
        <w:pStyle w:val="65ReferencesTextstylesTextstyles"/>
        <w:rPr>
          <w:highlight w:val="yellow"/>
        </w:rPr>
      </w:pPr>
      <w:commentRangeStart w:id="18"/>
      <w:r w:rsidRPr="004A3EB7">
        <w:rPr>
          <w:highlight w:val="yellow"/>
        </w:rPr>
        <w:t>24.</w:t>
      </w:r>
      <w:r w:rsidRPr="004A3EB7">
        <w:rPr>
          <w:highlight w:val="yellow"/>
        </w:rPr>
        <w:tab/>
        <w:t xml:space="preserve">Smith BH, Elliott AM, Chambers WA, Smith WC, Hannaford PC, Penny K. The impact of chronic pain in the community. </w:t>
      </w:r>
      <w:r w:rsidRPr="004A3EB7">
        <w:rPr>
          <w:i/>
          <w:highlight w:val="yellow"/>
        </w:rPr>
        <w:t>Fam Pract</w:t>
      </w:r>
      <w:r w:rsidRPr="004A3EB7">
        <w:rPr>
          <w:highlight w:val="yellow"/>
        </w:rPr>
        <w:t xml:space="preserve"> 2001;</w:t>
      </w:r>
      <w:r w:rsidRPr="004A3EB7">
        <w:rPr>
          <w:b/>
          <w:highlight w:val="yellow"/>
        </w:rPr>
        <w:t>18</w:t>
      </w:r>
      <w:r w:rsidRPr="004A3EB7">
        <w:rPr>
          <w:highlight w:val="yellow"/>
        </w:rPr>
        <w:t>:</w:t>
      </w:r>
      <w:r w:rsidRPr="004A3EB7">
        <w:rPr>
          <w:color w:val="auto"/>
          <w:highlight w:val="yellow"/>
        </w:rPr>
        <w:t>292</w:t>
      </w:r>
      <w:r w:rsidRPr="004A3EB7">
        <w:rPr>
          <w:color w:val="00B0F0"/>
          <w:highlight w:val="yellow"/>
        </w:rPr>
        <w:t>–</w:t>
      </w:r>
      <w:r w:rsidRPr="004A3EB7">
        <w:rPr>
          <w:color w:val="auto"/>
          <w:highlight w:val="yellow"/>
        </w:rPr>
        <w:t>9</w:t>
      </w:r>
      <w:r w:rsidRPr="004A3EB7">
        <w:rPr>
          <w:highlight w:val="yellow"/>
        </w:rPr>
        <w:t>. https://doi.org/10.1093/fampra/18.3.292</w:t>
      </w:r>
      <w:commentRangeEnd w:id="18"/>
      <w:r>
        <w:rPr>
          <w:rStyle w:val="CommentReference"/>
          <w:rFonts w:asciiTheme="minorHAnsi" w:eastAsiaTheme="minorHAnsi" w:hAnsiTheme="minorHAnsi" w:cstheme="minorBidi"/>
          <w:color w:val="auto"/>
        </w:rPr>
        <w:commentReference w:id="18"/>
      </w:r>
    </w:p>
    <w:p w14:paraId="5C3C1CA5" w14:textId="63AA600A" w:rsidR="00666310" w:rsidRPr="00666310" w:rsidRDefault="00666310" w:rsidP="00666310">
      <w:pPr>
        <w:pStyle w:val="65ReferencesTextstylesTextstyles"/>
      </w:pPr>
      <w:r w:rsidRPr="00666310">
        <w:t>25.</w:t>
      </w:r>
      <w:r w:rsidR="004A3EB7">
        <w:tab/>
      </w:r>
      <w:r w:rsidR="00411DB7" w:rsidRPr="00666310">
        <w:t>Leadley RM, Armstrong N, Reid KJ, Allen A, Misso KV, Kleijnen J. Healthy aging in relation to chronic pain and quality of life in Europe. Pain Pract. 2013.</w:t>
      </w:r>
    </w:p>
    <w:p w14:paraId="56F42A9E" w14:textId="6BC29E06" w:rsidR="004A3EB7" w:rsidRPr="004A3EB7" w:rsidRDefault="004A3EB7" w:rsidP="00666310">
      <w:pPr>
        <w:pStyle w:val="65ReferencesTextstylesTextstyles"/>
        <w:rPr>
          <w:highlight w:val="yellow"/>
        </w:rPr>
      </w:pPr>
      <w:commentRangeStart w:id="19"/>
      <w:r w:rsidRPr="004A3EB7">
        <w:rPr>
          <w:highlight w:val="yellow"/>
        </w:rPr>
        <w:t>26.</w:t>
      </w:r>
      <w:r w:rsidRPr="004A3EB7">
        <w:rPr>
          <w:highlight w:val="yellow"/>
        </w:rPr>
        <w:tab/>
        <w:t xml:space="preserve">Magni G, Caldieron C, Rigatti-Luchini S, Merskey H. Chronic musculoskeletal pain and depressive symptoms in the general population. An analysis of the 1st National Health and Nutrition Examination Survey data. </w:t>
      </w:r>
      <w:r w:rsidRPr="004A3EB7">
        <w:rPr>
          <w:i/>
          <w:highlight w:val="yellow"/>
        </w:rPr>
        <w:t>Pain</w:t>
      </w:r>
      <w:r w:rsidRPr="004A3EB7">
        <w:rPr>
          <w:highlight w:val="yellow"/>
        </w:rPr>
        <w:t xml:space="preserve"> 1990;</w:t>
      </w:r>
      <w:r w:rsidRPr="004A3EB7">
        <w:rPr>
          <w:b/>
          <w:highlight w:val="yellow"/>
        </w:rPr>
        <w:t>43</w:t>
      </w:r>
      <w:r w:rsidRPr="004A3EB7">
        <w:rPr>
          <w:highlight w:val="yellow"/>
        </w:rPr>
        <w:t>:</w:t>
      </w:r>
      <w:r w:rsidRPr="004A3EB7">
        <w:rPr>
          <w:color w:val="auto"/>
          <w:highlight w:val="yellow"/>
        </w:rPr>
        <w:t>299</w:t>
      </w:r>
      <w:r w:rsidRPr="004A3EB7">
        <w:rPr>
          <w:color w:val="00B0F0"/>
          <w:highlight w:val="yellow"/>
        </w:rPr>
        <w:t>–</w:t>
      </w:r>
      <w:r w:rsidRPr="004A3EB7">
        <w:rPr>
          <w:color w:val="auto"/>
          <w:highlight w:val="yellow"/>
        </w:rPr>
        <w:t>307</w:t>
      </w:r>
      <w:r w:rsidRPr="004A3EB7">
        <w:rPr>
          <w:highlight w:val="yellow"/>
        </w:rPr>
        <w:t>. https://doi.org/10.1016/0304-3959(90)90027-B</w:t>
      </w:r>
      <w:commentRangeEnd w:id="19"/>
      <w:r>
        <w:rPr>
          <w:rStyle w:val="CommentReference"/>
          <w:rFonts w:asciiTheme="minorHAnsi" w:eastAsiaTheme="minorHAnsi" w:hAnsiTheme="minorHAnsi" w:cstheme="minorBidi"/>
          <w:color w:val="auto"/>
        </w:rPr>
        <w:commentReference w:id="19"/>
      </w:r>
    </w:p>
    <w:p w14:paraId="2279B45F" w14:textId="24354C16" w:rsidR="004A3EB7" w:rsidRPr="004A3EB7" w:rsidRDefault="004A3EB7" w:rsidP="00666310">
      <w:pPr>
        <w:pStyle w:val="65ReferencesTextstylesTextstyles"/>
        <w:rPr>
          <w:highlight w:val="yellow"/>
        </w:rPr>
      </w:pPr>
      <w:commentRangeStart w:id="20"/>
      <w:r w:rsidRPr="004A3EB7">
        <w:rPr>
          <w:highlight w:val="yellow"/>
        </w:rPr>
        <w:t>27.</w:t>
      </w:r>
      <w:r w:rsidRPr="004A3EB7">
        <w:rPr>
          <w:highlight w:val="yellow"/>
        </w:rPr>
        <w:tab/>
        <w:t xml:space="preserve">Brox JI, Storheim K, Holm I, Friis A, Reikerås O. Disability, pain, psychological factors and physical performance in healthy controls, patients with sub-acute and chronic low back pain: a case-control study. </w:t>
      </w:r>
      <w:r w:rsidRPr="004A3EB7">
        <w:rPr>
          <w:i/>
          <w:highlight w:val="yellow"/>
        </w:rPr>
        <w:t>J Rehabil Med</w:t>
      </w:r>
      <w:r w:rsidRPr="004A3EB7">
        <w:rPr>
          <w:highlight w:val="yellow"/>
        </w:rPr>
        <w:t xml:space="preserve"> 2005;</w:t>
      </w:r>
      <w:r w:rsidRPr="004A3EB7">
        <w:rPr>
          <w:b/>
          <w:highlight w:val="yellow"/>
        </w:rPr>
        <w:t>37</w:t>
      </w:r>
      <w:r w:rsidRPr="004A3EB7">
        <w:rPr>
          <w:highlight w:val="yellow"/>
        </w:rPr>
        <w:t>:</w:t>
      </w:r>
      <w:r w:rsidRPr="004A3EB7">
        <w:rPr>
          <w:color w:val="auto"/>
          <w:highlight w:val="yellow"/>
        </w:rPr>
        <w:t>95</w:t>
      </w:r>
      <w:r w:rsidRPr="004A3EB7">
        <w:rPr>
          <w:color w:val="00B0F0"/>
          <w:highlight w:val="yellow"/>
        </w:rPr>
        <w:t>–</w:t>
      </w:r>
      <w:r w:rsidRPr="004A3EB7">
        <w:rPr>
          <w:color w:val="auto"/>
          <w:highlight w:val="yellow"/>
        </w:rPr>
        <w:t>9</w:t>
      </w:r>
      <w:r w:rsidRPr="004A3EB7">
        <w:rPr>
          <w:highlight w:val="yellow"/>
        </w:rPr>
        <w:t>.</w:t>
      </w:r>
      <w:commentRangeEnd w:id="20"/>
      <w:r>
        <w:rPr>
          <w:rStyle w:val="CommentReference"/>
          <w:rFonts w:asciiTheme="minorHAnsi" w:eastAsiaTheme="minorHAnsi" w:hAnsiTheme="minorHAnsi" w:cstheme="minorBidi"/>
          <w:color w:val="auto"/>
        </w:rPr>
        <w:commentReference w:id="20"/>
      </w:r>
    </w:p>
    <w:p w14:paraId="037F3035" w14:textId="2BB49DDE" w:rsidR="004A3EB7" w:rsidRPr="004A3EB7" w:rsidRDefault="004A3EB7" w:rsidP="00666310">
      <w:pPr>
        <w:pStyle w:val="65ReferencesTextstylesTextstyles"/>
        <w:rPr>
          <w:highlight w:val="yellow"/>
        </w:rPr>
      </w:pPr>
      <w:commentRangeStart w:id="21"/>
      <w:commentRangeStart w:id="22"/>
      <w:r w:rsidRPr="004A3EB7">
        <w:rPr>
          <w:highlight w:val="yellow"/>
        </w:rPr>
        <w:t>28.</w:t>
      </w:r>
      <w:r w:rsidRPr="004A3EB7">
        <w:rPr>
          <w:highlight w:val="yellow"/>
        </w:rPr>
        <w:tab/>
        <w:t xml:space="preserve">Silvemark AJ, Källmén H, Portala K, Molander C. Life satisfaction in patients with long-term non-malignant pain-relation to demographic factors and pain intensity. </w:t>
      </w:r>
      <w:r w:rsidRPr="004A3EB7">
        <w:rPr>
          <w:i/>
          <w:highlight w:val="yellow"/>
        </w:rPr>
        <w:t>Disabil Rehabil</w:t>
      </w:r>
      <w:r w:rsidRPr="004A3EB7">
        <w:rPr>
          <w:highlight w:val="yellow"/>
        </w:rPr>
        <w:t xml:space="preserve"> 2008;</w:t>
      </w:r>
      <w:r w:rsidRPr="004A3EB7">
        <w:rPr>
          <w:b/>
          <w:highlight w:val="yellow"/>
        </w:rPr>
        <w:t>30</w:t>
      </w:r>
      <w:r w:rsidRPr="004A3EB7">
        <w:rPr>
          <w:highlight w:val="yellow"/>
        </w:rPr>
        <w:t>:</w:t>
      </w:r>
      <w:r w:rsidRPr="004A3EB7">
        <w:rPr>
          <w:color w:val="auto"/>
          <w:highlight w:val="yellow"/>
        </w:rPr>
        <w:t>1929</w:t>
      </w:r>
      <w:r w:rsidRPr="004A3EB7">
        <w:rPr>
          <w:color w:val="00B0F0"/>
          <w:highlight w:val="yellow"/>
        </w:rPr>
        <w:t xml:space="preserve"> – </w:t>
      </w:r>
      <w:r w:rsidRPr="004A3EB7">
        <w:rPr>
          <w:color w:val="auto"/>
          <w:highlight w:val="yellow"/>
        </w:rPr>
        <w:t>37</w:t>
      </w:r>
      <w:r w:rsidRPr="004A3EB7">
        <w:rPr>
          <w:highlight w:val="yellow"/>
        </w:rPr>
        <w:t>. https://doi.org/10.1080/09638280701748773</w:t>
      </w:r>
      <w:commentRangeEnd w:id="21"/>
      <w:r>
        <w:rPr>
          <w:rStyle w:val="CommentReference"/>
          <w:rFonts w:asciiTheme="minorHAnsi" w:eastAsiaTheme="minorHAnsi" w:hAnsiTheme="minorHAnsi" w:cstheme="minorBidi"/>
          <w:color w:val="auto"/>
        </w:rPr>
        <w:commentReference w:id="21"/>
      </w:r>
      <w:commentRangeEnd w:id="22"/>
      <w:r>
        <w:rPr>
          <w:rStyle w:val="CommentReference"/>
          <w:rFonts w:asciiTheme="minorHAnsi" w:eastAsiaTheme="minorHAnsi" w:hAnsiTheme="minorHAnsi" w:cstheme="minorBidi"/>
          <w:color w:val="auto"/>
        </w:rPr>
        <w:commentReference w:id="22"/>
      </w:r>
    </w:p>
    <w:p w14:paraId="4B1B9F5A" w14:textId="4B191820" w:rsidR="004A3EB7" w:rsidRPr="004A3EB7" w:rsidRDefault="004A3EB7" w:rsidP="00666310">
      <w:pPr>
        <w:pStyle w:val="65ReferencesTextstylesTextstyles"/>
        <w:rPr>
          <w:highlight w:val="yellow"/>
        </w:rPr>
      </w:pPr>
      <w:commentRangeStart w:id="23"/>
      <w:r w:rsidRPr="004A3EB7">
        <w:rPr>
          <w:highlight w:val="yellow"/>
        </w:rPr>
        <w:t>29.</w:t>
      </w:r>
      <w:r w:rsidRPr="004A3EB7">
        <w:rPr>
          <w:highlight w:val="yellow"/>
        </w:rPr>
        <w:tab/>
        <w:t xml:space="preserve">Boonstra AM, Reneman MF, Stewart RE, Post MW, Schiphorst Preuper HR. Life satisfaction in patients with chronic musculoskeletal pain and its predictors. </w:t>
      </w:r>
      <w:r w:rsidRPr="004A3EB7">
        <w:rPr>
          <w:i/>
          <w:highlight w:val="yellow"/>
        </w:rPr>
        <w:t>Qual Life Res</w:t>
      </w:r>
      <w:r w:rsidRPr="004A3EB7">
        <w:rPr>
          <w:highlight w:val="yellow"/>
        </w:rPr>
        <w:t xml:space="preserve"> 2013;</w:t>
      </w:r>
      <w:r w:rsidRPr="004A3EB7">
        <w:rPr>
          <w:b/>
          <w:highlight w:val="yellow"/>
        </w:rPr>
        <w:t>22</w:t>
      </w:r>
      <w:r w:rsidRPr="004A3EB7">
        <w:rPr>
          <w:highlight w:val="yellow"/>
        </w:rPr>
        <w:t>:</w:t>
      </w:r>
      <w:r w:rsidRPr="004A3EB7">
        <w:rPr>
          <w:color w:val="auto"/>
          <w:highlight w:val="yellow"/>
        </w:rPr>
        <w:t>93</w:t>
      </w:r>
      <w:r w:rsidRPr="004A3EB7">
        <w:rPr>
          <w:color w:val="00B0F0"/>
          <w:highlight w:val="yellow"/>
        </w:rPr>
        <w:t>–</w:t>
      </w:r>
      <w:r w:rsidRPr="004A3EB7">
        <w:rPr>
          <w:color w:val="auto"/>
          <w:highlight w:val="yellow"/>
        </w:rPr>
        <w:t>101</w:t>
      </w:r>
      <w:r w:rsidRPr="004A3EB7">
        <w:rPr>
          <w:highlight w:val="yellow"/>
        </w:rPr>
        <w:t>. https://doi.org/10.1007/s11136-012-0132-8</w:t>
      </w:r>
      <w:commentRangeEnd w:id="23"/>
      <w:r>
        <w:rPr>
          <w:rStyle w:val="CommentReference"/>
          <w:rFonts w:asciiTheme="minorHAnsi" w:eastAsiaTheme="minorHAnsi" w:hAnsiTheme="minorHAnsi" w:cstheme="minorBidi"/>
          <w:color w:val="auto"/>
        </w:rPr>
        <w:commentReference w:id="23"/>
      </w:r>
    </w:p>
    <w:p w14:paraId="4175AC18" w14:textId="1CBF7299" w:rsidR="004A3EB7" w:rsidRPr="004A3EB7" w:rsidRDefault="004A3EB7" w:rsidP="00666310">
      <w:pPr>
        <w:pStyle w:val="65ReferencesTextstylesTextstyles"/>
        <w:rPr>
          <w:highlight w:val="yellow"/>
        </w:rPr>
      </w:pPr>
      <w:commentRangeStart w:id="24"/>
      <w:r w:rsidRPr="004A3EB7">
        <w:rPr>
          <w:highlight w:val="yellow"/>
        </w:rPr>
        <w:t>30.</w:t>
      </w:r>
      <w:r w:rsidRPr="004A3EB7">
        <w:rPr>
          <w:highlight w:val="yellow"/>
        </w:rPr>
        <w:tab/>
        <w:t xml:space="preserve">Hawton A, Green C, Dickens AP, Richards SH, Taylor RS, Edwards R, </w:t>
      </w:r>
      <w:r w:rsidRPr="004A3EB7">
        <w:rPr>
          <w:i/>
          <w:highlight w:val="yellow"/>
        </w:rPr>
        <w:t>et al</w:t>
      </w:r>
      <w:r w:rsidRPr="004A3EB7">
        <w:rPr>
          <w:highlight w:val="yellow"/>
        </w:rPr>
        <w:t xml:space="preserve">. The impact of social isolation on the health status and health-related quality of life of older people. </w:t>
      </w:r>
      <w:r w:rsidRPr="004A3EB7">
        <w:rPr>
          <w:i/>
          <w:highlight w:val="yellow"/>
        </w:rPr>
        <w:t>Qual Life Res</w:t>
      </w:r>
      <w:r w:rsidRPr="004A3EB7">
        <w:rPr>
          <w:highlight w:val="yellow"/>
        </w:rPr>
        <w:t xml:space="preserve"> 2011;</w:t>
      </w:r>
      <w:r w:rsidRPr="004A3EB7">
        <w:rPr>
          <w:b/>
          <w:highlight w:val="yellow"/>
        </w:rPr>
        <w:t>20</w:t>
      </w:r>
      <w:r w:rsidRPr="004A3EB7">
        <w:rPr>
          <w:highlight w:val="yellow"/>
        </w:rPr>
        <w:t>:</w:t>
      </w:r>
      <w:r w:rsidRPr="004A3EB7">
        <w:rPr>
          <w:color w:val="auto"/>
          <w:highlight w:val="yellow"/>
        </w:rPr>
        <w:t>57</w:t>
      </w:r>
      <w:r w:rsidRPr="004A3EB7">
        <w:rPr>
          <w:color w:val="00B0F0"/>
          <w:highlight w:val="yellow"/>
        </w:rPr>
        <w:t>–</w:t>
      </w:r>
      <w:r w:rsidRPr="004A3EB7">
        <w:rPr>
          <w:color w:val="auto"/>
          <w:highlight w:val="yellow"/>
        </w:rPr>
        <w:t>67</w:t>
      </w:r>
      <w:r w:rsidRPr="004A3EB7">
        <w:rPr>
          <w:highlight w:val="yellow"/>
        </w:rPr>
        <w:t>. https://doi.org/10.1007/s11136-010-9717-2</w:t>
      </w:r>
      <w:commentRangeEnd w:id="24"/>
      <w:r>
        <w:rPr>
          <w:rStyle w:val="CommentReference"/>
          <w:rFonts w:asciiTheme="minorHAnsi" w:eastAsiaTheme="minorHAnsi" w:hAnsiTheme="minorHAnsi" w:cstheme="minorBidi"/>
          <w:color w:val="auto"/>
        </w:rPr>
        <w:commentReference w:id="24"/>
      </w:r>
    </w:p>
    <w:p w14:paraId="237F7433" w14:textId="3D8F01D5" w:rsidR="00666310" w:rsidRPr="00666310" w:rsidRDefault="00666310" w:rsidP="00666310">
      <w:pPr>
        <w:pStyle w:val="65ReferencesTextstylesTextstyles"/>
      </w:pPr>
      <w:r w:rsidRPr="00666310">
        <w:t>31.</w:t>
      </w:r>
      <w:r w:rsidR="004A3EB7">
        <w:tab/>
      </w:r>
      <w:r w:rsidR="00411DB7" w:rsidRPr="00666310">
        <w:t>Belsey J. Primary care workload in the management of chronic pain. A retrospective cohort study using a GP database to identify resource implications for UK primary care. J Med Econ. 2002;5(1-4):39-50.</w:t>
      </w:r>
    </w:p>
    <w:p w14:paraId="7B05FAB8" w14:textId="463CDFCB" w:rsidR="00666310" w:rsidRPr="00666310" w:rsidRDefault="00666310" w:rsidP="00666310">
      <w:pPr>
        <w:pStyle w:val="65ReferencesTextstylesTextstyles"/>
      </w:pPr>
      <w:r w:rsidRPr="00666310">
        <w:t>32.</w:t>
      </w:r>
      <w:r w:rsidR="004A3EB7">
        <w:tab/>
      </w:r>
      <w:r w:rsidR="00411DB7" w:rsidRPr="00666310">
        <w:t>Phillips CJ. The economics of chronic pain. In: Wilson PR, Watson PJ, Haythornthwaite JA, Jensen TS, editors. Clinical pain management. second ed. Boca Raton, Florida: CRC Press, Taylor &amp; Francis Group; 2008. p. 75-85.</w:t>
      </w:r>
    </w:p>
    <w:p w14:paraId="2904C7E2" w14:textId="779C0B6E" w:rsidR="004A3EB7" w:rsidRPr="004A3EB7" w:rsidRDefault="004A3EB7" w:rsidP="00666310">
      <w:pPr>
        <w:pStyle w:val="65ReferencesTextstylesTextstyles"/>
        <w:rPr>
          <w:highlight w:val="yellow"/>
        </w:rPr>
      </w:pPr>
      <w:commentRangeStart w:id="25"/>
      <w:r w:rsidRPr="004A3EB7">
        <w:rPr>
          <w:highlight w:val="yellow"/>
        </w:rPr>
        <w:lastRenderedPageBreak/>
        <w:t>33.</w:t>
      </w:r>
      <w:r w:rsidRPr="004A3EB7">
        <w:rPr>
          <w:highlight w:val="yellow"/>
        </w:rPr>
        <w:tab/>
        <w:t xml:space="preserve">Breivik H, Eisenberg E, O’Brien T, OPENMinds. The individual and societal burden of chronic pain in Europe: the case for strategic prioritisation and action to improve knowledge and availability of appropriate care. </w:t>
      </w:r>
      <w:r w:rsidRPr="004A3EB7">
        <w:rPr>
          <w:i/>
          <w:highlight w:val="yellow"/>
        </w:rPr>
        <w:t>BMC Public Health</w:t>
      </w:r>
      <w:r w:rsidRPr="004A3EB7">
        <w:rPr>
          <w:highlight w:val="yellow"/>
        </w:rPr>
        <w:t xml:space="preserve"> 2013;</w:t>
      </w:r>
      <w:r w:rsidRPr="004A3EB7">
        <w:rPr>
          <w:b/>
          <w:highlight w:val="yellow"/>
        </w:rPr>
        <w:t>13</w:t>
      </w:r>
      <w:r w:rsidRPr="004A3EB7">
        <w:rPr>
          <w:highlight w:val="yellow"/>
        </w:rPr>
        <w:t>:</w:t>
      </w:r>
      <w:r w:rsidRPr="004A3EB7">
        <w:rPr>
          <w:color w:val="auto"/>
          <w:highlight w:val="yellow"/>
        </w:rPr>
        <w:t>1229</w:t>
      </w:r>
      <w:r w:rsidRPr="004A3EB7">
        <w:rPr>
          <w:highlight w:val="yellow"/>
        </w:rPr>
        <w:t>. https://doi.org/10.1186/1471-2458-13-1229</w:t>
      </w:r>
      <w:commentRangeEnd w:id="25"/>
      <w:r>
        <w:rPr>
          <w:rStyle w:val="CommentReference"/>
          <w:rFonts w:asciiTheme="minorHAnsi" w:eastAsiaTheme="minorHAnsi" w:hAnsiTheme="minorHAnsi" w:cstheme="minorBidi"/>
          <w:color w:val="auto"/>
        </w:rPr>
        <w:commentReference w:id="25"/>
      </w:r>
    </w:p>
    <w:p w14:paraId="66FBF6BB" w14:textId="386F6F7A" w:rsidR="004A3EB7" w:rsidRPr="004A3EB7" w:rsidRDefault="004A3EB7" w:rsidP="00666310">
      <w:pPr>
        <w:pStyle w:val="65ReferencesTextstylesTextstyles"/>
        <w:rPr>
          <w:highlight w:val="yellow"/>
        </w:rPr>
      </w:pPr>
      <w:commentRangeStart w:id="26"/>
      <w:r w:rsidRPr="004A3EB7">
        <w:rPr>
          <w:highlight w:val="yellow"/>
        </w:rPr>
        <w:t>34.</w:t>
      </w:r>
      <w:r w:rsidRPr="004A3EB7">
        <w:rPr>
          <w:highlight w:val="yellow"/>
        </w:rPr>
        <w:tab/>
        <w:t xml:space="preserve">Bedson J, Belcher J, Martino OI, Ndlovu M, Rathod T, Walters K, </w:t>
      </w:r>
      <w:r w:rsidRPr="004A3EB7">
        <w:rPr>
          <w:i/>
          <w:highlight w:val="yellow"/>
        </w:rPr>
        <w:t>et al</w:t>
      </w:r>
      <w:r w:rsidRPr="004A3EB7">
        <w:rPr>
          <w:highlight w:val="yellow"/>
        </w:rPr>
        <w:t xml:space="preserve">. The effectiveness of national guidance in changing analgesic prescribing in primary care from 2002 to 2009: an observational database study. </w:t>
      </w:r>
      <w:r w:rsidRPr="004A3EB7">
        <w:rPr>
          <w:i/>
          <w:highlight w:val="yellow"/>
        </w:rPr>
        <w:t>Eur J Pain</w:t>
      </w:r>
      <w:r w:rsidRPr="004A3EB7">
        <w:rPr>
          <w:highlight w:val="yellow"/>
        </w:rPr>
        <w:t xml:space="preserve"> 2013;</w:t>
      </w:r>
      <w:r w:rsidRPr="004A3EB7">
        <w:rPr>
          <w:b/>
          <w:highlight w:val="yellow"/>
        </w:rPr>
        <w:t>17</w:t>
      </w:r>
      <w:r w:rsidRPr="004A3EB7">
        <w:rPr>
          <w:highlight w:val="yellow"/>
        </w:rPr>
        <w:t>:</w:t>
      </w:r>
      <w:r w:rsidRPr="004A3EB7">
        <w:rPr>
          <w:color w:val="auto"/>
          <w:highlight w:val="yellow"/>
        </w:rPr>
        <w:t>434</w:t>
      </w:r>
      <w:r w:rsidRPr="004A3EB7">
        <w:rPr>
          <w:color w:val="00B0F0"/>
          <w:highlight w:val="yellow"/>
        </w:rPr>
        <w:t>–</w:t>
      </w:r>
      <w:r w:rsidRPr="004A3EB7">
        <w:rPr>
          <w:color w:val="auto"/>
          <w:highlight w:val="yellow"/>
        </w:rPr>
        <w:t>43</w:t>
      </w:r>
      <w:r w:rsidRPr="004A3EB7">
        <w:rPr>
          <w:highlight w:val="yellow"/>
        </w:rPr>
        <w:t>. https://doi.org/10.1002/j.1532-2149.2012.00189.x</w:t>
      </w:r>
      <w:commentRangeEnd w:id="26"/>
      <w:r>
        <w:rPr>
          <w:rStyle w:val="CommentReference"/>
          <w:rFonts w:asciiTheme="minorHAnsi" w:eastAsiaTheme="minorHAnsi" w:hAnsiTheme="minorHAnsi" w:cstheme="minorBidi"/>
          <w:color w:val="auto"/>
        </w:rPr>
        <w:commentReference w:id="26"/>
      </w:r>
    </w:p>
    <w:p w14:paraId="1C34C6E5" w14:textId="2614602E" w:rsidR="004A3EB7" w:rsidRPr="004A3EB7" w:rsidRDefault="004A3EB7" w:rsidP="00666310">
      <w:pPr>
        <w:pStyle w:val="65ReferencesTextstylesTextstyles"/>
        <w:rPr>
          <w:highlight w:val="yellow"/>
        </w:rPr>
      </w:pPr>
      <w:commentRangeStart w:id="27"/>
      <w:r w:rsidRPr="004A3EB7">
        <w:rPr>
          <w:highlight w:val="yellow"/>
        </w:rPr>
        <w:t>35.</w:t>
      </w:r>
      <w:r w:rsidRPr="004A3EB7">
        <w:rPr>
          <w:highlight w:val="yellow"/>
        </w:rPr>
        <w:tab/>
        <w:t xml:space="preserve">Hong J, Reed C, Novick D, Happich M. Costs associated with treatment of chronic low back pain: an analysis of the UK General Practice Research Database. </w:t>
      </w:r>
      <w:r w:rsidRPr="004A3EB7">
        <w:rPr>
          <w:i/>
          <w:highlight w:val="yellow"/>
        </w:rPr>
        <w:t>Spine</w:t>
      </w:r>
      <w:r w:rsidRPr="004A3EB7">
        <w:rPr>
          <w:highlight w:val="yellow"/>
        </w:rPr>
        <w:t xml:space="preserve"> 2013;</w:t>
      </w:r>
      <w:r w:rsidRPr="004A3EB7">
        <w:rPr>
          <w:b/>
          <w:highlight w:val="yellow"/>
        </w:rPr>
        <w:t>38</w:t>
      </w:r>
      <w:r w:rsidRPr="004A3EB7">
        <w:rPr>
          <w:highlight w:val="yellow"/>
        </w:rPr>
        <w:t>:</w:t>
      </w:r>
      <w:r w:rsidRPr="004A3EB7">
        <w:rPr>
          <w:color w:val="auto"/>
          <w:highlight w:val="yellow"/>
        </w:rPr>
        <w:t>75</w:t>
      </w:r>
      <w:r w:rsidRPr="004A3EB7">
        <w:rPr>
          <w:color w:val="00B0F0"/>
          <w:highlight w:val="yellow"/>
        </w:rPr>
        <w:t>–</w:t>
      </w:r>
      <w:r w:rsidRPr="004A3EB7">
        <w:rPr>
          <w:color w:val="auto"/>
          <w:highlight w:val="yellow"/>
        </w:rPr>
        <w:t>82</w:t>
      </w:r>
      <w:r w:rsidRPr="004A3EB7">
        <w:rPr>
          <w:highlight w:val="yellow"/>
        </w:rPr>
        <w:t>. https://doi.org/10.1097/BRS.0b013e318276450f</w:t>
      </w:r>
      <w:commentRangeEnd w:id="27"/>
      <w:r>
        <w:rPr>
          <w:rStyle w:val="CommentReference"/>
          <w:rFonts w:asciiTheme="minorHAnsi" w:eastAsiaTheme="minorHAnsi" w:hAnsiTheme="minorHAnsi" w:cstheme="minorBidi"/>
          <w:color w:val="auto"/>
        </w:rPr>
        <w:commentReference w:id="27"/>
      </w:r>
    </w:p>
    <w:p w14:paraId="737A6638" w14:textId="76BA9BC6" w:rsidR="004A3EB7" w:rsidRPr="004A3EB7" w:rsidRDefault="004A3EB7" w:rsidP="00666310">
      <w:pPr>
        <w:pStyle w:val="65ReferencesTextstylesTextstyles"/>
        <w:rPr>
          <w:highlight w:val="yellow"/>
        </w:rPr>
      </w:pPr>
      <w:commentRangeStart w:id="28"/>
      <w:r w:rsidRPr="004A3EB7">
        <w:rPr>
          <w:highlight w:val="yellow"/>
        </w:rPr>
        <w:t>36.</w:t>
      </w:r>
      <w:r w:rsidRPr="004A3EB7">
        <w:rPr>
          <w:highlight w:val="yellow"/>
        </w:rPr>
        <w:tab/>
        <w:t xml:space="preserve">Wylde V, Dieppe P, Hewlett S, Learmonth ID. Total knee replacement: is it really an effective procedure for all? </w:t>
      </w:r>
      <w:r w:rsidRPr="004A3EB7">
        <w:rPr>
          <w:i/>
          <w:highlight w:val="yellow"/>
        </w:rPr>
        <w:t>Knee</w:t>
      </w:r>
      <w:r w:rsidRPr="004A3EB7">
        <w:rPr>
          <w:highlight w:val="yellow"/>
        </w:rPr>
        <w:t xml:space="preserve"> 2007;</w:t>
      </w:r>
      <w:r w:rsidRPr="004A3EB7">
        <w:rPr>
          <w:b/>
          <w:highlight w:val="yellow"/>
        </w:rPr>
        <w:t>14</w:t>
      </w:r>
      <w:r w:rsidRPr="004A3EB7">
        <w:rPr>
          <w:highlight w:val="yellow"/>
        </w:rPr>
        <w:t>:</w:t>
      </w:r>
      <w:r w:rsidRPr="004A3EB7">
        <w:rPr>
          <w:color w:val="auto"/>
          <w:highlight w:val="yellow"/>
        </w:rPr>
        <w:t>417</w:t>
      </w:r>
      <w:r w:rsidRPr="004A3EB7">
        <w:rPr>
          <w:color w:val="00B0F0"/>
          <w:highlight w:val="yellow"/>
        </w:rPr>
        <w:t>–</w:t>
      </w:r>
      <w:r w:rsidRPr="004A3EB7">
        <w:rPr>
          <w:color w:val="auto"/>
          <w:highlight w:val="yellow"/>
        </w:rPr>
        <w:t>23</w:t>
      </w:r>
      <w:r w:rsidRPr="004A3EB7">
        <w:rPr>
          <w:highlight w:val="yellow"/>
        </w:rPr>
        <w:t>.</w:t>
      </w:r>
      <w:commentRangeEnd w:id="28"/>
      <w:r>
        <w:rPr>
          <w:rStyle w:val="CommentReference"/>
          <w:rFonts w:asciiTheme="minorHAnsi" w:eastAsiaTheme="minorHAnsi" w:hAnsiTheme="minorHAnsi" w:cstheme="minorBidi"/>
          <w:color w:val="auto"/>
        </w:rPr>
        <w:commentReference w:id="28"/>
      </w:r>
    </w:p>
    <w:p w14:paraId="4C9F33B3" w14:textId="6FF6FDAD" w:rsidR="004A3EB7" w:rsidRPr="004A3EB7" w:rsidRDefault="004A3EB7" w:rsidP="00666310">
      <w:pPr>
        <w:pStyle w:val="65ReferencesTextstylesTextstyles"/>
        <w:rPr>
          <w:highlight w:val="yellow"/>
        </w:rPr>
      </w:pPr>
      <w:commentRangeStart w:id="29"/>
      <w:r w:rsidRPr="004A3EB7">
        <w:rPr>
          <w:highlight w:val="yellow"/>
        </w:rPr>
        <w:t>37.</w:t>
      </w:r>
      <w:r w:rsidRPr="004A3EB7">
        <w:rPr>
          <w:highlight w:val="yellow"/>
        </w:rPr>
        <w:tab/>
        <w:t xml:space="preserve">Lundblad H, Kreicbergs A, Jansson KA. Prediction of persistent pain after total knee replacement for osteoarthritis. </w:t>
      </w:r>
      <w:r w:rsidRPr="004A3EB7">
        <w:rPr>
          <w:i/>
          <w:highlight w:val="yellow"/>
        </w:rPr>
        <w:t>J Bone Joint Surg Br</w:t>
      </w:r>
      <w:r w:rsidRPr="004A3EB7">
        <w:rPr>
          <w:highlight w:val="yellow"/>
        </w:rPr>
        <w:t xml:space="preserve"> 2008;</w:t>
      </w:r>
      <w:r w:rsidRPr="004A3EB7">
        <w:rPr>
          <w:b/>
          <w:highlight w:val="yellow"/>
        </w:rPr>
        <w:t>90</w:t>
      </w:r>
      <w:r w:rsidRPr="004A3EB7">
        <w:rPr>
          <w:highlight w:val="yellow"/>
        </w:rPr>
        <w:t>:</w:t>
      </w:r>
      <w:r w:rsidRPr="004A3EB7">
        <w:rPr>
          <w:color w:val="auto"/>
          <w:highlight w:val="yellow"/>
        </w:rPr>
        <w:t>166</w:t>
      </w:r>
      <w:r w:rsidRPr="004A3EB7">
        <w:rPr>
          <w:color w:val="00B0F0"/>
          <w:highlight w:val="yellow"/>
        </w:rPr>
        <w:t>–</w:t>
      </w:r>
      <w:r w:rsidRPr="004A3EB7">
        <w:rPr>
          <w:color w:val="auto"/>
          <w:highlight w:val="yellow"/>
        </w:rPr>
        <w:t>71</w:t>
      </w:r>
      <w:r w:rsidRPr="004A3EB7">
        <w:rPr>
          <w:highlight w:val="yellow"/>
        </w:rPr>
        <w:t>. https://doi.org/10.1302/0301-620X.90B2.19640</w:t>
      </w:r>
      <w:commentRangeEnd w:id="29"/>
      <w:r>
        <w:rPr>
          <w:rStyle w:val="CommentReference"/>
          <w:rFonts w:asciiTheme="minorHAnsi" w:eastAsiaTheme="minorHAnsi" w:hAnsiTheme="minorHAnsi" w:cstheme="minorBidi"/>
          <w:color w:val="auto"/>
        </w:rPr>
        <w:commentReference w:id="29"/>
      </w:r>
    </w:p>
    <w:p w14:paraId="308C009D" w14:textId="716ED4B3" w:rsidR="004A3EB7" w:rsidRPr="004A3EB7" w:rsidRDefault="004A3EB7" w:rsidP="00666310">
      <w:pPr>
        <w:pStyle w:val="65ReferencesTextstylesTextstyles"/>
        <w:rPr>
          <w:highlight w:val="yellow"/>
        </w:rPr>
      </w:pPr>
      <w:commentRangeStart w:id="30"/>
      <w:r w:rsidRPr="004A3EB7">
        <w:rPr>
          <w:highlight w:val="yellow"/>
        </w:rPr>
        <w:t>38.</w:t>
      </w:r>
      <w:r w:rsidRPr="004A3EB7">
        <w:rPr>
          <w:highlight w:val="yellow"/>
        </w:rPr>
        <w:tab/>
        <w:t xml:space="preserve">Wells V. Moving out of pain. </w:t>
      </w:r>
      <w:r w:rsidRPr="004A3EB7">
        <w:rPr>
          <w:i/>
          <w:highlight w:val="yellow"/>
        </w:rPr>
        <w:t>Chronic Illn</w:t>
      </w:r>
      <w:r w:rsidRPr="004A3EB7">
        <w:rPr>
          <w:highlight w:val="yellow"/>
        </w:rPr>
        <w:t xml:space="preserve"> 2010;</w:t>
      </w:r>
      <w:r w:rsidRPr="004A3EB7">
        <w:rPr>
          <w:b/>
          <w:highlight w:val="yellow"/>
        </w:rPr>
        <w:t>6</w:t>
      </w:r>
      <w:r w:rsidRPr="004A3EB7">
        <w:rPr>
          <w:highlight w:val="yellow"/>
        </w:rPr>
        <w:t>:</w:t>
      </w:r>
      <w:r w:rsidRPr="004A3EB7">
        <w:rPr>
          <w:color w:val="auto"/>
          <w:highlight w:val="yellow"/>
        </w:rPr>
        <w:t>154</w:t>
      </w:r>
      <w:r w:rsidRPr="004A3EB7">
        <w:rPr>
          <w:color w:val="00B0F0"/>
          <w:highlight w:val="yellow"/>
        </w:rPr>
        <w:t>–</w:t>
      </w:r>
      <w:r w:rsidRPr="004A3EB7">
        <w:rPr>
          <w:color w:val="auto"/>
          <w:highlight w:val="yellow"/>
        </w:rPr>
        <w:t>60</w:t>
      </w:r>
      <w:r w:rsidRPr="004A3EB7">
        <w:rPr>
          <w:highlight w:val="yellow"/>
        </w:rPr>
        <w:t>. https://doi.org/10.1177/1742395309352112</w:t>
      </w:r>
      <w:commentRangeEnd w:id="30"/>
      <w:r>
        <w:rPr>
          <w:rStyle w:val="CommentReference"/>
          <w:rFonts w:asciiTheme="minorHAnsi" w:eastAsiaTheme="minorHAnsi" w:hAnsiTheme="minorHAnsi" w:cstheme="minorBidi"/>
          <w:color w:val="auto"/>
        </w:rPr>
        <w:commentReference w:id="30"/>
      </w:r>
    </w:p>
    <w:p w14:paraId="571E3E9B" w14:textId="5E116DF4" w:rsidR="00666310" w:rsidRPr="00666310" w:rsidRDefault="00666310" w:rsidP="00666310">
      <w:pPr>
        <w:pStyle w:val="65ReferencesTextstylesTextstyles"/>
      </w:pPr>
      <w:r w:rsidRPr="00666310">
        <w:t>39.</w:t>
      </w:r>
      <w:r w:rsidR="004A3EB7">
        <w:tab/>
      </w:r>
      <w:r w:rsidR="00411DB7" w:rsidRPr="00666310">
        <w:t>Stanos SP, Harden RN, Wagner-Raphael L, Saltz SL. A prospective clinical model for investigating the development of CRPS. In: Harden RN, Baron R, Jänig W, editors. Complex regional pain syndrome: progress in pain research and management. 22. Seattle: IASP Press; 2001. p. 151-64.</w:t>
      </w:r>
    </w:p>
    <w:p w14:paraId="44C0807A" w14:textId="43E2C4CC" w:rsidR="004A3EB7" w:rsidRPr="004A3EB7" w:rsidRDefault="004A3EB7" w:rsidP="00666310">
      <w:pPr>
        <w:pStyle w:val="65ReferencesTextstylesTextstyles"/>
        <w:rPr>
          <w:highlight w:val="yellow"/>
        </w:rPr>
      </w:pPr>
      <w:commentRangeStart w:id="31"/>
      <w:r w:rsidRPr="004A3EB7">
        <w:rPr>
          <w:highlight w:val="yellow"/>
        </w:rPr>
        <w:t>40.</w:t>
      </w:r>
      <w:r w:rsidRPr="004A3EB7">
        <w:rPr>
          <w:highlight w:val="yellow"/>
        </w:rPr>
        <w:tab/>
        <w:t xml:space="preserve">Haroutiunian S, Nikolajsen L, Finnerup NB, Jensen TS. The neuropathic component in persistent postsurgical pain: a systematic literature review. </w:t>
      </w:r>
      <w:r w:rsidRPr="004A3EB7">
        <w:rPr>
          <w:i/>
          <w:highlight w:val="yellow"/>
        </w:rPr>
        <w:t>Pain</w:t>
      </w:r>
      <w:r w:rsidRPr="004A3EB7">
        <w:rPr>
          <w:highlight w:val="yellow"/>
        </w:rPr>
        <w:t xml:space="preserve"> 2013;</w:t>
      </w:r>
      <w:r w:rsidRPr="004A3EB7">
        <w:rPr>
          <w:b/>
          <w:highlight w:val="yellow"/>
        </w:rPr>
        <w:t>154</w:t>
      </w:r>
      <w:r w:rsidRPr="004A3EB7">
        <w:rPr>
          <w:highlight w:val="yellow"/>
        </w:rPr>
        <w:t>:</w:t>
      </w:r>
      <w:r w:rsidRPr="004A3EB7">
        <w:rPr>
          <w:color w:val="auto"/>
          <w:highlight w:val="yellow"/>
        </w:rPr>
        <w:t>95</w:t>
      </w:r>
      <w:r w:rsidRPr="004A3EB7">
        <w:rPr>
          <w:color w:val="00B0F0"/>
          <w:highlight w:val="yellow"/>
        </w:rPr>
        <w:t>–</w:t>
      </w:r>
      <w:r w:rsidRPr="004A3EB7">
        <w:rPr>
          <w:color w:val="auto"/>
          <w:highlight w:val="yellow"/>
        </w:rPr>
        <w:t>102</w:t>
      </w:r>
      <w:r w:rsidRPr="004A3EB7">
        <w:rPr>
          <w:highlight w:val="yellow"/>
        </w:rPr>
        <w:t>. https://doi.org/10.1016/j.pain.2012.09.010</w:t>
      </w:r>
      <w:commentRangeEnd w:id="31"/>
      <w:r>
        <w:rPr>
          <w:rStyle w:val="CommentReference"/>
          <w:rFonts w:asciiTheme="minorHAnsi" w:eastAsiaTheme="minorHAnsi" w:hAnsiTheme="minorHAnsi" w:cstheme="minorBidi"/>
          <w:color w:val="auto"/>
        </w:rPr>
        <w:commentReference w:id="31"/>
      </w:r>
    </w:p>
    <w:p w14:paraId="38D2BD77" w14:textId="6DA4A3FE" w:rsidR="004A3EB7" w:rsidRPr="004A3EB7" w:rsidRDefault="004A3EB7" w:rsidP="00666310">
      <w:pPr>
        <w:pStyle w:val="65ReferencesTextstylesTextstyles"/>
        <w:rPr>
          <w:highlight w:val="yellow"/>
        </w:rPr>
      </w:pPr>
      <w:commentRangeStart w:id="32"/>
      <w:r w:rsidRPr="004A3EB7">
        <w:rPr>
          <w:highlight w:val="yellow"/>
        </w:rPr>
        <w:t>41.</w:t>
      </w:r>
      <w:r w:rsidRPr="004A3EB7">
        <w:rPr>
          <w:highlight w:val="yellow"/>
        </w:rPr>
        <w:tab/>
        <w:t xml:space="preserve">Mandalia V, Eyres K, Schranz P, Toms AD. Evaluation of patients with a painful total knee replacement. </w:t>
      </w:r>
      <w:r w:rsidRPr="004A3EB7">
        <w:rPr>
          <w:i/>
          <w:highlight w:val="yellow"/>
        </w:rPr>
        <w:t>J Bone Joint Surg Br</w:t>
      </w:r>
      <w:r w:rsidRPr="004A3EB7">
        <w:rPr>
          <w:highlight w:val="yellow"/>
        </w:rPr>
        <w:t xml:space="preserve"> 2008;</w:t>
      </w:r>
      <w:r w:rsidRPr="004A3EB7">
        <w:rPr>
          <w:b/>
          <w:highlight w:val="yellow"/>
        </w:rPr>
        <w:t>90</w:t>
      </w:r>
      <w:r w:rsidRPr="004A3EB7">
        <w:rPr>
          <w:highlight w:val="yellow"/>
        </w:rPr>
        <w:t>:</w:t>
      </w:r>
      <w:r w:rsidRPr="004A3EB7">
        <w:rPr>
          <w:color w:val="auto"/>
          <w:highlight w:val="yellow"/>
        </w:rPr>
        <w:t>265</w:t>
      </w:r>
      <w:r w:rsidRPr="004A3EB7">
        <w:rPr>
          <w:color w:val="00B0F0"/>
          <w:highlight w:val="yellow"/>
        </w:rPr>
        <w:t>–</w:t>
      </w:r>
      <w:r w:rsidRPr="004A3EB7">
        <w:rPr>
          <w:color w:val="auto"/>
          <w:highlight w:val="yellow"/>
        </w:rPr>
        <w:t>71</w:t>
      </w:r>
      <w:r w:rsidRPr="004A3EB7">
        <w:rPr>
          <w:highlight w:val="yellow"/>
        </w:rPr>
        <w:t>. https://doi.org/10.1302/0301-620X.90B3.20140</w:t>
      </w:r>
      <w:commentRangeEnd w:id="32"/>
      <w:r>
        <w:rPr>
          <w:rStyle w:val="CommentReference"/>
          <w:rFonts w:asciiTheme="minorHAnsi" w:eastAsiaTheme="minorHAnsi" w:hAnsiTheme="minorHAnsi" w:cstheme="minorBidi"/>
          <w:color w:val="auto"/>
        </w:rPr>
        <w:commentReference w:id="32"/>
      </w:r>
    </w:p>
    <w:p w14:paraId="59906E1B" w14:textId="603437F7" w:rsidR="004A3EB7" w:rsidRPr="004A3EB7" w:rsidRDefault="004A3EB7" w:rsidP="00666310">
      <w:pPr>
        <w:pStyle w:val="65ReferencesTextstylesTextstyles"/>
        <w:rPr>
          <w:highlight w:val="yellow"/>
        </w:rPr>
      </w:pPr>
      <w:commentRangeStart w:id="33"/>
      <w:r w:rsidRPr="004A3EB7">
        <w:rPr>
          <w:highlight w:val="yellow"/>
        </w:rPr>
        <w:t>42.</w:t>
      </w:r>
      <w:r w:rsidRPr="004A3EB7">
        <w:rPr>
          <w:highlight w:val="yellow"/>
        </w:rPr>
        <w:tab/>
        <w:t xml:space="preserve">Toms AD, Mandalia V, Haigh R, Hopwood B. The management of patients with painful total knee replacement. </w:t>
      </w:r>
      <w:r w:rsidRPr="004A3EB7">
        <w:rPr>
          <w:i/>
          <w:highlight w:val="yellow"/>
        </w:rPr>
        <w:t>J Bone Joint Surg Br</w:t>
      </w:r>
      <w:r w:rsidRPr="004A3EB7">
        <w:rPr>
          <w:highlight w:val="yellow"/>
        </w:rPr>
        <w:t xml:space="preserve"> 2009;</w:t>
      </w:r>
      <w:r w:rsidRPr="004A3EB7">
        <w:rPr>
          <w:b/>
          <w:highlight w:val="yellow"/>
        </w:rPr>
        <w:t>91</w:t>
      </w:r>
      <w:r w:rsidRPr="004A3EB7">
        <w:rPr>
          <w:highlight w:val="yellow"/>
        </w:rPr>
        <w:t>:</w:t>
      </w:r>
      <w:r w:rsidRPr="004A3EB7">
        <w:rPr>
          <w:color w:val="auto"/>
          <w:highlight w:val="yellow"/>
        </w:rPr>
        <w:t>143</w:t>
      </w:r>
      <w:r w:rsidRPr="004A3EB7">
        <w:rPr>
          <w:color w:val="00B0F0"/>
          <w:highlight w:val="yellow"/>
        </w:rPr>
        <w:t>–</w:t>
      </w:r>
      <w:r w:rsidRPr="004A3EB7">
        <w:rPr>
          <w:color w:val="auto"/>
          <w:highlight w:val="yellow"/>
        </w:rPr>
        <w:t>50</w:t>
      </w:r>
      <w:r w:rsidRPr="004A3EB7">
        <w:rPr>
          <w:highlight w:val="yellow"/>
        </w:rPr>
        <w:t>. https://doi.org/10.1302/0301-620X.91B2.20995</w:t>
      </w:r>
      <w:commentRangeEnd w:id="33"/>
      <w:r>
        <w:rPr>
          <w:rStyle w:val="CommentReference"/>
          <w:rFonts w:asciiTheme="minorHAnsi" w:eastAsiaTheme="minorHAnsi" w:hAnsiTheme="minorHAnsi" w:cstheme="minorBidi"/>
          <w:color w:val="auto"/>
        </w:rPr>
        <w:commentReference w:id="33"/>
      </w:r>
    </w:p>
    <w:p w14:paraId="4A4C3AA3" w14:textId="4E53DFC3" w:rsidR="004A3EB7" w:rsidRPr="004A3EB7" w:rsidRDefault="004A3EB7" w:rsidP="00666310">
      <w:pPr>
        <w:pStyle w:val="65ReferencesTextstylesTextstyles"/>
        <w:rPr>
          <w:highlight w:val="yellow"/>
        </w:rPr>
      </w:pPr>
      <w:commentRangeStart w:id="34"/>
      <w:r w:rsidRPr="004A3EB7">
        <w:rPr>
          <w:highlight w:val="yellow"/>
        </w:rPr>
        <w:t>43.</w:t>
      </w:r>
      <w:r w:rsidRPr="004A3EB7">
        <w:rPr>
          <w:highlight w:val="yellow"/>
        </w:rPr>
        <w:tab/>
        <w:t xml:space="preserve">Hofmann S, Seitlinger G, Djahani O, Pietsch M. The painful knee after TKA: a diagnostic algorithm for failure analysis. </w:t>
      </w:r>
      <w:r w:rsidRPr="004A3EB7">
        <w:rPr>
          <w:i/>
          <w:highlight w:val="yellow"/>
        </w:rPr>
        <w:t>Knee Surg Sports Traumatol Arthrosc</w:t>
      </w:r>
      <w:r w:rsidRPr="004A3EB7">
        <w:rPr>
          <w:highlight w:val="yellow"/>
        </w:rPr>
        <w:t xml:space="preserve"> 2011;</w:t>
      </w:r>
      <w:r w:rsidRPr="004A3EB7">
        <w:rPr>
          <w:b/>
          <w:highlight w:val="yellow"/>
        </w:rPr>
        <w:t>19</w:t>
      </w:r>
      <w:r w:rsidRPr="004A3EB7">
        <w:rPr>
          <w:highlight w:val="yellow"/>
        </w:rPr>
        <w:t>:</w:t>
      </w:r>
      <w:r w:rsidRPr="004A3EB7">
        <w:rPr>
          <w:color w:val="auto"/>
          <w:highlight w:val="yellow"/>
        </w:rPr>
        <w:t>1442</w:t>
      </w:r>
      <w:r w:rsidRPr="004A3EB7">
        <w:rPr>
          <w:color w:val="00B0F0"/>
          <w:highlight w:val="yellow"/>
        </w:rPr>
        <w:t>–</w:t>
      </w:r>
      <w:r w:rsidRPr="004A3EB7">
        <w:rPr>
          <w:color w:val="auto"/>
          <w:highlight w:val="yellow"/>
        </w:rPr>
        <w:t>52</w:t>
      </w:r>
      <w:r w:rsidRPr="004A3EB7">
        <w:rPr>
          <w:highlight w:val="yellow"/>
        </w:rPr>
        <w:t>. https://doi.org/10.1007/s00167-011-1634-6</w:t>
      </w:r>
      <w:commentRangeEnd w:id="34"/>
      <w:r>
        <w:rPr>
          <w:rStyle w:val="CommentReference"/>
          <w:rFonts w:asciiTheme="minorHAnsi" w:eastAsiaTheme="minorHAnsi" w:hAnsiTheme="minorHAnsi" w:cstheme="minorBidi"/>
          <w:color w:val="auto"/>
        </w:rPr>
        <w:commentReference w:id="34"/>
      </w:r>
    </w:p>
    <w:p w14:paraId="6D322983" w14:textId="02BC1E4D" w:rsidR="004A3EB7" w:rsidRPr="004A3EB7" w:rsidRDefault="004A3EB7" w:rsidP="00666310">
      <w:pPr>
        <w:pStyle w:val="65ReferencesTextstylesTextstyles"/>
        <w:rPr>
          <w:highlight w:val="yellow"/>
        </w:rPr>
      </w:pPr>
      <w:commentRangeStart w:id="35"/>
      <w:r w:rsidRPr="004A3EB7">
        <w:rPr>
          <w:highlight w:val="yellow"/>
        </w:rPr>
        <w:t>44.</w:t>
      </w:r>
      <w:r w:rsidRPr="004A3EB7">
        <w:rPr>
          <w:highlight w:val="yellow"/>
        </w:rPr>
        <w:tab/>
        <w:t xml:space="preserve">Burns LC, Ritvo SE, Ferguson MK, Clarke H, Seltzer Z, Katz J. Pain catastrophizing as a risk factor for chronic pain after total knee arthroplasty: a systematic review. </w:t>
      </w:r>
      <w:r w:rsidRPr="004A3EB7">
        <w:rPr>
          <w:i/>
          <w:highlight w:val="yellow"/>
        </w:rPr>
        <w:t>J Pain Res</w:t>
      </w:r>
      <w:r w:rsidRPr="004A3EB7">
        <w:rPr>
          <w:highlight w:val="yellow"/>
        </w:rPr>
        <w:t xml:space="preserve"> 2015;</w:t>
      </w:r>
      <w:r w:rsidRPr="004A3EB7">
        <w:rPr>
          <w:b/>
          <w:highlight w:val="yellow"/>
        </w:rPr>
        <w:t>8</w:t>
      </w:r>
      <w:r w:rsidRPr="004A3EB7">
        <w:rPr>
          <w:highlight w:val="yellow"/>
        </w:rPr>
        <w:t>:</w:t>
      </w:r>
      <w:r w:rsidRPr="004A3EB7">
        <w:rPr>
          <w:color w:val="auto"/>
          <w:highlight w:val="yellow"/>
        </w:rPr>
        <w:t>21</w:t>
      </w:r>
      <w:r w:rsidRPr="004A3EB7">
        <w:rPr>
          <w:color w:val="00B0F0"/>
          <w:highlight w:val="yellow"/>
        </w:rPr>
        <w:t>–</w:t>
      </w:r>
      <w:r w:rsidRPr="004A3EB7">
        <w:rPr>
          <w:color w:val="auto"/>
          <w:highlight w:val="yellow"/>
        </w:rPr>
        <w:t>32</w:t>
      </w:r>
      <w:r w:rsidRPr="004A3EB7">
        <w:rPr>
          <w:highlight w:val="yellow"/>
        </w:rPr>
        <w:t>. https://doi.org/10.2147/JPR.S64730</w:t>
      </w:r>
      <w:commentRangeEnd w:id="35"/>
      <w:r>
        <w:rPr>
          <w:rStyle w:val="CommentReference"/>
          <w:rFonts w:asciiTheme="minorHAnsi" w:eastAsiaTheme="minorHAnsi" w:hAnsiTheme="minorHAnsi" w:cstheme="minorBidi"/>
          <w:color w:val="auto"/>
        </w:rPr>
        <w:commentReference w:id="35"/>
      </w:r>
    </w:p>
    <w:p w14:paraId="7E163EFF" w14:textId="05E31704" w:rsidR="004A3EB7" w:rsidRPr="004A3EB7" w:rsidRDefault="004A3EB7" w:rsidP="00666310">
      <w:pPr>
        <w:pStyle w:val="65ReferencesTextstylesTextstyles"/>
        <w:rPr>
          <w:highlight w:val="yellow"/>
        </w:rPr>
      </w:pPr>
      <w:commentRangeStart w:id="36"/>
      <w:r w:rsidRPr="004A3EB7">
        <w:rPr>
          <w:highlight w:val="yellow"/>
        </w:rPr>
        <w:t>45.</w:t>
      </w:r>
      <w:r w:rsidRPr="004A3EB7">
        <w:rPr>
          <w:highlight w:val="yellow"/>
        </w:rPr>
        <w:tab/>
        <w:t xml:space="preserve">Lewis GN, Rice DA, McNair PJ, Kluger M. Predictors of persistent pain after total knee arthroplasty: a systematic review and meta-analysis. </w:t>
      </w:r>
      <w:r w:rsidRPr="004A3EB7">
        <w:rPr>
          <w:i/>
          <w:highlight w:val="yellow"/>
        </w:rPr>
        <w:t>Br J Anaesth</w:t>
      </w:r>
      <w:r w:rsidRPr="004A3EB7">
        <w:rPr>
          <w:highlight w:val="yellow"/>
        </w:rPr>
        <w:t xml:space="preserve"> 2015;</w:t>
      </w:r>
      <w:r w:rsidRPr="004A3EB7">
        <w:rPr>
          <w:b/>
          <w:highlight w:val="yellow"/>
        </w:rPr>
        <w:t>114</w:t>
      </w:r>
      <w:r w:rsidRPr="004A3EB7">
        <w:rPr>
          <w:highlight w:val="yellow"/>
        </w:rPr>
        <w:t>:</w:t>
      </w:r>
      <w:r w:rsidRPr="004A3EB7">
        <w:rPr>
          <w:color w:val="auto"/>
          <w:highlight w:val="yellow"/>
        </w:rPr>
        <w:t>551</w:t>
      </w:r>
      <w:r w:rsidRPr="004A3EB7">
        <w:rPr>
          <w:color w:val="00B0F0"/>
          <w:highlight w:val="yellow"/>
        </w:rPr>
        <w:t>–</w:t>
      </w:r>
      <w:r w:rsidRPr="004A3EB7">
        <w:rPr>
          <w:color w:val="auto"/>
          <w:highlight w:val="yellow"/>
        </w:rPr>
        <w:t>61</w:t>
      </w:r>
      <w:r w:rsidRPr="004A3EB7">
        <w:rPr>
          <w:highlight w:val="yellow"/>
        </w:rPr>
        <w:t>. https://doi.org/10.1093/bja/aeu441</w:t>
      </w:r>
      <w:commentRangeEnd w:id="36"/>
      <w:r>
        <w:rPr>
          <w:rStyle w:val="CommentReference"/>
          <w:rFonts w:asciiTheme="minorHAnsi" w:eastAsiaTheme="minorHAnsi" w:hAnsiTheme="minorHAnsi" w:cstheme="minorBidi"/>
          <w:color w:val="auto"/>
        </w:rPr>
        <w:commentReference w:id="36"/>
      </w:r>
    </w:p>
    <w:p w14:paraId="178813DB" w14:textId="73F699EB" w:rsidR="004A3EB7" w:rsidRPr="004A3EB7" w:rsidRDefault="004A3EB7" w:rsidP="00666310">
      <w:pPr>
        <w:pStyle w:val="65ReferencesTextstylesTextstyles"/>
        <w:rPr>
          <w:highlight w:val="yellow"/>
        </w:rPr>
      </w:pPr>
      <w:commentRangeStart w:id="37"/>
      <w:r w:rsidRPr="004A3EB7">
        <w:rPr>
          <w:highlight w:val="yellow"/>
        </w:rPr>
        <w:t>46.</w:t>
      </w:r>
      <w:r w:rsidRPr="004A3EB7">
        <w:rPr>
          <w:highlight w:val="yellow"/>
        </w:rPr>
        <w:tab/>
        <w:t xml:space="preserve">Lungu E, Vendittoli PA, Desmeules F. Preoperative Determinants of Patient-reported Pain and Physical Function Levels Following Total Knee Arthroplasty: A Systematic Review. </w:t>
      </w:r>
      <w:r w:rsidRPr="004A3EB7">
        <w:rPr>
          <w:i/>
          <w:highlight w:val="yellow"/>
        </w:rPr>
        <w:t>Open Orthop J</w:t>
      </w:r>
      <w:r w:rsidRPr="004A3EB7">
        <w:rPr>
          <w:highlight w:val="yellow"/>
        </w:rPr>
        <w:t xml:space="preserve"> 2016;</w:t>
      </w:r>
      <w:r w:rsidRPr="004A3EB7">
        <w:rPr>
          <w:b/>
          <w:highlight w:val="yellow"/>
        </w:rPr>
        <w:t>10</w:t>
      </w:r>
      <w:r w:rsidRPr="004A3EB7">
        <w:rPr>
          <w:highlight w:val="yellow"/>
        </w:rPr>
        <w:t>:</w:t>
      </w:r>
      <w:r w:rsidRPr="004A3EB7">
        <w:rPr>
          <w:color w:val="auto"/>
          <w:highlight w:val="yellow"/>
        </w:rPr>
        <w:t>213</w:t>
      </w:r>
      <w:r w:rsidRPr="004A3EB7">
        <w:rPr>
          <w:color w:val="00B0F0"/>
          <w:highlight w:val="yellow"/>
        </w:rPr>
        <w:t>–</w:t>
      </w:r>
      <w:r w:rsidRPr="004A3EB7">
        <w:rPr>
          <w:color w:val="auto"/>
          <w:highlight w:val="yellow"/>
        </w:rPr>
        <w:t>31</w:t>
      </w:r>
      <w:r w:rsidRPr="004A3EB7">
        <w:rPr>
          <w:highlight w:val="yellow"/>
        </w:rPr>
        <w:t>. https://doi.org/10.2174/1874325001610010213</w:t>
      </w:r>
      <w:commentRangeEnd w:id="37"/>
      <w:r>
        <w:rPr>
          <w:rStyle w:val="CommentReference"/>
          <w:rFonts w:asciiTheme="minorHAnsi" w:eastAsiaTheme="minorHAnsi" w:hAnsiTheme="minorHAnsi" w:cstheme="minorBidi"/>
          <w:color w:val="auto"/>
        </w:rPr>
        <w:commentReference w:id="37"/>
      </w:r>
    </w:p>
    <w:p w14:paraId="6E8CA7AF" w14:textId="567BB64F" w:rsidR="004A3EB7" w:rsidRPr="004A3EB7" w:rsidRDefault="004A3EB7" w:rsidP="00666310">
      <w:pPr>
        <w:pStyle w:val="65ReferencesTextstylesTextstyles"/>
        <w:rPr>
          <w:highlight w:val="yellow"/>
        </w:rPr>
      </w:pPr>
      <w:commentRangeStart w:id="38"/>
      <w:r w:rsidRPr="004A3EB7">
        <w:rPr>
          <w:highlight w:val="yellow"/>
        </w:rPr>
        <w:t>47.</w:t>
      </w:r>
      <w:r w:rsidRPr="004A3EB7">
        <w:rPr>
          <w:highlight w:val="yellow"/>
        </w:rPr>
        <w:tab/>
        <w:t xml:space="preserve">Sorel JC, Veltman ES, Honig A, Poolman RW. The influence of preoperative psychological distress on pain and function after total knee arthroplasty: a systematic review and meta-analysis. </w:t>
      </w:r>
      <w:r w:rsidRPr="004A3EB7">
        <w:rPr>
          <w:i/>
          <w:highlight w:val="yellow"/>
        </w:rPr>
        <w:t>Bone Joint J</w:t>
      </w:r>
      <w:r w:rsidRPr="004A3EB7">
        <w:rPr>
          <w:highlight w:val="yellow"/>
        </w:rPr>
        <w:t xml:space="preserve"> 2019;$$Bolds$$101-B$$Bolde$$:</w:t>
      </w:r>
      <w:r w:rsidRPr="004A3EB7">
        <w:rPr>
          <w:color w:val="auto"/>
          <w:highlight w:val="yellow"/>
        </w:rPr>
        <w:t>7</w:t>
      </w:r>
      <w:r w:rsidRPr="004A3EB7">
        <w:rPr>
          <w:color w:val="00B0F0"/>
          <w:highlight w:val="yellow"/>
        </w:rPr>
        <w:t>–</w:t>
      </w:r>
      <w:r w:rsidRPr="004A3EB7">
        <w:rPr>
          <w:color w:val="auto"/>
          <w:highlight w:val="yellow"/>
        </w:rPr>
        <w:t>14</w:t>
      </w:r>
      <w:r w:rsidRPr="004A3EB7">
        <w:rPr>
          <w:highlight w:val="yellow"/>
        </w:rPr>
        <w:t>. https://doi.org/10.1302/0301-</w:t>
      </w:r>
      <w:r w:rsidRPr="004A3EB7">
        <w:rPr>
          <w:highlight w:val="yellow"/>
        </w:rPr>
        <w:lastRenderedPageBreak/>
        <w:t>620X.101B1.BJJ-2018-0672.R1</w:t>
      </w:r>
      <w:commentRangeEnd w:id="38"/>
      <w:r>
        <w:rPr>
          <w:rStyle w:val="CommentReference"/>
          <w:rFonts w:asciiTheme="minorHAnsi" w:eastAsiaTheme="minorHAnsi" w:hAnsiTheme="minorHAnsi" w:cstheme="minorBidi"/>
          <w:color w:val="auto"/>
        </w:rPr>
        <w:commentReference w:id="38"/>
      </w:r>
    </w:p>
    <w:p w14:paraId="0867890D" w14:textId="630DDF9F" w:rsidR="004A3EB7" w:rsidRPr="004A3EB7" w:rsidRDefault="004A3EB7" w:rsidP="00666310">
      <w:pPr>
        <w:pStyle w:val="65ReferencesTextstylesTextstyles"/>
        <w:rPr>
          <w:highlight w:val="yellow"/>
        </w:rPr>
      </w:pPr>
      <w:commentRangeStart w:id="39"/>
      <w:r w:rsidRPr="004A3EB7">
        <w:rPr>
          <w:highlight w:val="yellow"/>
        </w:rPr>
        <w:t>48.</w:t>
      </w:r>
      <w:r w:rsidRPr="004A3EB7">
        <w:rPr>
          <w:highlight w:val="yellow"/>
        </w:rPr>
        <w:tab/>
        <w:t xml:space="preserve">Beswick AD, Wylde V, Gooberman-Hill R. Interventions for the prediction and management of chronic postsurgical pain after total knee replacement: systematic review of randomised controlled trials. </w:t>
      </w:r>
      <w:r w:rsidRPr="004A3EB7">
        <w:rPr>
          <w:i/>
          <w:highlight w:val="yellow"/>
        </w:rPr>
        <w:t>BMJ Open</w:t>
      </w:r>
      <w:r w:rsidRPr="004A3EB7">
        <w:rPr>
          <w:highlight w:val="yellow"/>
        </w:rPr>
        <w:t xml:space="preserve"> 2015;</w:t>
      </w:r>
      <w:r w:rsidRPr="004A3EB7">
        <w:rPr>
          <w:b/>
          <w:highlight w:val="yellow"/>
        </w:rPr>
        <w:t>5</w:t>
      </w:r>
      <w:r w:rsidRPr="004A3EB7">
        <w:rPr>
          <w:highlight w:val="yellow"/>
        </w:rPr>
        <w:t>:</w:t>
      </w:r>
      <w:r w:rsidRPr="004A3EB7">
        <w:rPr>
          <w:color w:val="auto"/>
          <w:highlight w:val="yellow"/>
        </w:rPr>
        <w:t>e007387</w:t>
      </w:r>
      <w:r w:rsidRPr="004A3EB7">
        <w:rPr>
          <w:highlight w:val="yellow"/>
        </w:rPr>
        <w:t>. https://doi.org/10.1136/bmjopen-2014-007387</w:t>
      </w:r>
      <w:commentRangeEnd w:id="39"/>
      <w:r>
        <w:rPr>
          <w:rStyle w:val="CommentReference"/>
          <w:rFonts w:asciiTheme="minorHAnsi" w:eastAsiaTheme="minorHAnsi" w:hAnsiTheme="minorHAnsi" w:cstheme="minorBidi"/>
          <w:color w:val="auto"/>
        </w:rPr>
        <w:commentReference w:id="39"/>
      </w:r>
    </w:p>
    <w:p w14:paraId="436A6BC7" w14:textId="62BEE043" w:rsidR="00666310" w:rsidRPr="00666310" w:rsidRDefault="00666310" w:rsidP="00666310">
      <w:pPr>
        <w:pStyle w:val="65ReferencesTextstylesTextstyles"/>
      </w:pPr>
      <w:r w:rsidRPr="00666310">
        <w:t>49.</w:t>
      </w:r>
      <w:r w:rsidR="004A3EB7">
        <w:tab/>
      </w:r>
      <w:r w:rsidR="00411DB7" w:rsidRPr="00666310">
        <w:t>Blom AW, Artz N, Beswick AD, Burston A, Dieppe P, Elvers KT, et al. Improving patients</w:t>
      </w:r>
      <w:r w:rsidR="004A3EB7" w:rsidRPr="004A3EB7">
        <w:t>’</w:t>
      </w:r>
      <w:r w:rsidR="00411DB7" w:rsidRPr="00666310">
        <w:t xml:space="preserve"> experience and outcome of total joint replacement: the RESTORE programme. Prog Grant Appl Res. 2016;4(12).</w:t>
      </w:r>
    </w:p>
    <w:p w14:paraId="21280005" w14:textId="68BBC3A5" w:rsidR="004A3EB7" w:rsidRPr="004A3EB7" w:rsidRDefault="004A3EB7" w:rsidP="00666310">
      <w:pPr>
        <w:pStyle w:val="65ReferencesTextstylesTextstyles"/>
        <w:rPr>
          <w:highlight w:val="yellow"/>
        </w:rPr>
      </w:pPr>
      <w:commentRangeStart w:id="40"/>
      <w:r w:rsidRPr="004A3EB7">
        <w:rPr>
          <w:highlight w:val="yellow"/>
        </w:rPr>
        <w:t>50.</w:t>
      </w:r>
      <w:r w:rsidRPr="004A3EB7">
        <w:rPr>
          <w:highlight w:val="yellow"/>
        </w:rPr>
        <w:tab/>
        <w:t xml:space="preserve">Harmelink KEM, Zeegers AVCM, Hullegie W, Hoogeboom TJ, Nijhuis-van der Sanden MWG, Staal JB. Are There Prognostic Factors for One-Year Outcome After Total Knee Arthroplasty? A Systematic Review. </w:t>
      </w:r>
      <w:r w:rsidRPr="004A3EB7">
        <w:rPr>
          <w:i/>
          <w:highlight w:val="yellow"/>
        </w:rPr>
        <w:t>J Arthroplasty</w:t>
      </w:r>
      <w:r w:rsidRPr="004A3EB7">
        <w:rPr>
          <w:highlight w:val="yellow"/>
        </w:rPr>
        <w:t xml:space="preserve"> 2017;</w:t>
      </w:r>
      <w:r w:rsidRPr="004A3EB7">
        <w:rPr>
          <w:b/>
          <w:highlight w:val="yellow"/>
        </w:rPr>
        <w:t>32</w:t>
      </w:r>
      <w:r w:rsidRPr="004A3EB7">
        <w:rPr>
          <w:highlight w:val="yellow"/>
        </w:rPr>
        <w:t>:</w:t>
      </w:r>
      <w:r w:rsidRPr="004A3EB7">
        <w:rPr>
          <w:color w:val="auto"/>
          <w:highlight w:val="yellow"/>
        </w:rPr>
        <w:t>3840</w:t>
      </w:r>
      <w:r>
        <w:rPr>
          <w:color w:val="00B0F0"/>
          <w:highlight w:val="yellow"/>
        </w:rPr>
        <w:t>–</w:t>
      </w:r>
      <w:r w:rsidRPr="004A3EB7">
        <w:rPr>
          <w:color w:val="auto"/>
          <w:highlight w:val="yellow"/>
        </w:rPr>
        <w:t>53</w:t>
      </w:r>
      <w:r w:rsidRPr="004A3EB7">
        <w:rPr>
          <w:color w:val="00B0F0"/>
          <w:highlight w:val="yellow"/>
        </w:rPr>
        <w:t>.</w:t>
      </w:r>
      <w:r w:rsidRPr="004A3EB7">
        <w:rPr>
          <w:color w:val="auto"/>
          <w:highlight w:val="yellow"/>
        </w:rPr>
        <w:t>e1</w:t>
      </w:r>
      <w:r w:rsidRPr="004A3EB7">
        <w:rPr>
          <w:highlight w:val="yellow"/>
        </w:rPr>
        <w:t>.</w:t>
      </w:r>
      <w:commentRangeEnd w:id="40"/>
      <w:r>
        <w:rPr>
          <w:rStyle w:val="CommentReference"/>
          <w:rFonts w:asciiTheme="minorHAnsi" w:eastAsiaTheme="minorHAnsi" w:hAnsiTheme="minorHAnsi" w:cstheme="minorBidi"/>
          <w:color w:val="auto"/>
        </w:rPr>
        <w:commentReference w:id="40"/>
      </w:r>
    </w:p>
    <w:p w14:paraId="2B0D54F4" w14:textId="4ED3E84C" w:rsidR="004A3EB7" w:rsidRPr="004A3EB7" w:rsidRDefault="004A3EB7" w:rsidP="00666310">
      <w:pPr>
        <w:pStyle w:val="65ReferencesTextstylesTextstyles"/>
        <w:rPr>
          <w:highlight w:val="yellow"/>
        </w:rPr>
      </w:pPr>
      <w:commentRangeStart w:id="41"/>
      <w:r w:rsidRPr="004A3EB7">
        <w:rPr>
          <w:highlight w:val="yellow"/>
        </w:rPr>
        <w:t>51.</w:t>
      </w:r>
      <w:r w:rsidRPr="004A3EB7">
        <w:rPr>
          <w:highlight w:val="yellow"/>
        </w:rPr>
        <w:tab/>
        <w:t xml:space="preserve">Kuperman EF, Schweizer M, Joy P, Gu X, Fang MM. The effects of advanced age on primary total knee arthroplasty: a meta-analysis and systematic review. </w:t>
      </w:r>
      <w:r w:rsidRPr="004A3EB7">
        <w:rPr>
          <w:i/>
          <w:highlight w:val="yellow"/>
        </w:rPr>
        <w:t>BMC Geriatr</w:t>
      </w:r>
      <w:r w:rsidRPr="004A3EB7">
        <w:rPr>
          <w:highlight w:val="yellow"/>
        </w:rPr>
        <w:t xml:space="preserve"> 2016;</w:t>
      </w:r>
      <w:r w:rsidRPr="004A3EB7">
        <w:rPr>
          <w:b/>
          <w:highlight w:val="yellow"/>
        </w:rPr>
        <w:t>16</w:t>
      </w:r>
      <w:r w:rsidRPr="004A3EB7">
        <w:rPr>
          <w:highlight w:val="yellow"/>
        </w:rPr>
        <w:t>:</w:t>
      </w:r>
      <w:r w:rsidRPr="004A3EB7">
        <w:rPr>
          <w:color w:val="auto"/>
          <w:highlight w:val="yellow"/>
        </w:rPr>
        <w:t>41</w:t>
      </w:r>
      <w:r w:rsidRPr="004A3EB7">
        <w:rPr>
          <w:highlight w:val="yellow"/>
        </w:rPr>
        <w:t>. https://doi.org/10.1186/s12877-016-0215-4</w:t>
      </w:r>
      <w:commentRangeEnd w:id="41"/>
      <w:r>
        <w:rPr>
          <w:rStyle w:val="CommentReference"/>
          <w:rFonts w:asciiTheme="minorHAnsi" w:eastAsiaTheme="minorHAnsi" w:hAnsiTheme="minorHAnsi" w:cstheme="minorBidi"/>
          <w:color w:val="auto"/>
        </w:rPr>
        <w:commentReference w:id="41"/>
      </w:r>
    </w:p>
    <w:p w14:paraId="479E6CBC" w14:textId="32838287" w:rsidR="004A3EB7" w:rsidRPr="004A3EB7" w:rsidRDefault="004A3EB7" w:rsidP="00666310">
      <w:pPr>
        <w:pStyle w:val="65ReferencesTextstylesTextstyles"/>
        <w:rPr>
          <w:highlight w:val="yellow"/>
        </w:rPr>
      </w:pPr>
      <w:commentRangeStart w:id="42"/>
      <w:r w:rsidRPr="004A3EB7">
        <w:rPr>
          <w:highlight w:val="yellow"/>
        </w:rPr>
        <w:t>52.</w:t>
      </w:r>
      <w:r w:rsidRPr="004A3EB7">
        <w:rPr>
          <w:highlight w:val="yellow"/>
        </w:rPr>
        <w:tab/>
        <w:t xml:space="preserve">Sayers A, Wylde V, Lenguerrand E, Beswick AD, Gooberman-Hill R, Pyke M, </w:t>
      </w:r>
      <w:r w:rsidRPr="004A3EB7">
        <w:rPr>
          <w:i/>
          <w:highlight w:val="yellow"/>
        </w:rPr>
        <w:t>et al</w:t>
      </w:r>
      <w:r w:rsidRPr="004A3EB7">
        <w:rPr>
          <w:highlight w:val="yellow"/>
        </w:rPr>
        <w:t xml:space="preserve">. Rest Pain and Movement-Evoked Pain as Unique Constructs in Hip and Knee Replacements. </w:t>
      </w:r>
      <w:r w:rsidRPr="004A3EB7">
        <w:rPr>
          <w:i/>
          <w:highlight w:val="yellow"/>
        </w:rPr>
        <w:t>Arthritis Care Res</w:t>
      </w:r>
      <w:r w:rsidRPr="004A3EB7">
        <w:rPr>
          <w:highlight w:val="yellow"/>
        </w:rPr>
        <w:t xml:space="preserve"> 2016;</w:t>
      </w:r>
      <w:r w:rsidRPr="004A3EB7">
        <w:rPr>
          <w:b/>
          <w:highlight w:val="yellow"/>
        </w:rPr>
        <w:t>68</w:t>
      </w:r>
      <w:r w:rsidRPr="004A3EB7">
        <w:rPr>
          <w:highlight w:val="yellow"/>
        </w:rPr>
        <w:t>:</w:t>
      </w:r>
      <w:r w:rsidRPr="004A3EB7">
        <w:rPr>
          <w:color w:val="auto"/>
          <w:highlight w:val="yellow"/>
        </w:rPr>
        <w:t>237</w:t>
      </w:r>
      <w:r w:rsidRPr="004A3EB7">
        <w:rPr>
          <w:color w:val="00B0F0"/>
          <w:highlight w:val="yellow"/>
        </w:rPr>
        <w:t>–</w:t>
      </w:r>
      <w:r w:rsidRPr="004A3EB7">
        <w:rPr>
          <w:color w:val="auto"/>
          <w:highlight w:val="yellow"/>
        </w:rPr>
        <w:t>45</w:t>
      </w:r>
      <w:r w:rsidRPr="004A3EB7">
        <w:rPr>
          <w:highlight w:val="yellow"/>
        </w:rPr>
        <w:t>. https://doi.org/10.1002/acr.22656</w:t>
      </w:r>
      <w:commentRangeEnd w:id="42"/>
      <w:r>
        <w:rPr>
          <w:rStyle w:val="CommentReference"/>
          <w:rFonts w:asciiTheme="minorHAnsi" w:eastAsiaTheme="minorHAnsi" w:hAnsiTheme="minorHAnsi" w:cstheme="minorBidi"/>
          <w:color w:val="auto"/>
        </w:rPr>
        <w:commentReference w:id="42"/>
      </w:r>
    </w:p>
    <w:p w14:paraId="56965344" w14:textId="7A33437D" w:rsidR="004A3EB7" w:rsidRPr="004A3EB7" w:rsidRDefault="004A3EB7" w:rsidP="00666310">
      <w:pPr>
        <w:pStyle w:val="65ReferencesTextstylesTextstyles"/>
        <w:rPr>
          <w:highlight w:val="yellow"/>
        </w:rPr>
      </w:pPr>
      <w:commentRangeStart w:id="43"/>
      <w:r w:rsidRPr="004A3EB7">
        <w:rPr>
          <w:highlight w:val="yellow"/>
        </w:rPr>
        <w:t>53.</w:t>
      </w:r>
      <w:r w:rsidRPr="004A3EB7">
        <w:rPr>
          <w:highlight w:val="yellow"/>
        </w:rPr>
        <w:tab/>
        <w:t xml:space="preserve">Vissers MM, Bussmann JB, Verhaar JA, Busschbach JJ, Bierma-Zeinstra SM, Reijman M. Psychological factors affecting the outcome of total hip and knee arthroplasty: a systematic review. </w:t>
      </w:r>
      <w:r w:rsidRPr="004A3EB7">
        <w:rPr>
          <w:i/>
          <w:highlight w:val="yellow"/>
        </w:rPr>
        <w:t>Semin Arthritis Rheum</w:t>
      </w:r>
      <w:r w:rsidRPr="004A3EB7">
        <w:rPr>
          <w:highlight w:val="yellow"/>
        </w:rPr>
        <w:t xml:space="preserve"> 2012;</w:t>
      </w:r>
      <w:r w:rsidRPr="004A3EB7">
        <w:rPr>
          <w:b/>
          <w:highlight w:val="yellow"/>
        </w:rPr>
        <w:t>41</w:t>
      </w:r>
      <w:r w:rsidRPr="004A3EB7">
        <w:rPr>
          <w:highlight w:val="yellow"/>
        </w:rPr>
        <w:t>:</w:t>
      </w:r>
      <w:r w:rsidRPr="004A3EB7">
        <w:rPr>
          <w:color w:val="auto"/>
          <w:highlight w:val="yellow"/>
        </w:rPr>
        <w:t>576</w:t>
      </w:r>
      <w:r w:rsidRPr="004A3EB7">
        <w:rPr>
          <w:color w:val="00B0F0"/>
          <w:highlight w:val="yellow"/>
        </w:rPr>
        <w:t>–</w:t>
      </w:r>
      <w:r w:rsidRPr="004A3EB7">
        <w:rPr>
          <w:color w:val="auto"/>
          <w:highlight w:val="yellow"/>
        </w:rPr>
        <w:t>88</w:t>
      </w:r>
      <w:r w:rsidRPr="004A3EB7">
        <w:rPr>
          <w:highlight w:val="yellow"/>
        </w:rPr>
        <w:t>. https://doi.org/10.1016/j.semarthrit.2011.07.003</w:t>
      </w:r>
      <w:commentRangeEnd w:id="43"/>
      <w:r>
        <w:rPr>
          <w:rStyle w:val="CommentReference"/>
          <w:rFonts w:asciiTheme="minorHAnsi" w:eastAsiaTheme="minorHAnsi" w:hAnsiTheme="minorHAnsi" w:cstheme="minorBidi"/>
          <w:color w:val="auto"/>
        </w:rPr>
        <w:commentReference w:id="43"/>
      </w:r>
    </w:p>
    <w:p w14:paraId="7A565C0A" w14:textId="1BB1196F" w:rsidR="004A3EB7" w:rsidRPr="004A3EB7" w:rsidRDefault="004A3EB7" w:rsidP="00666310">
      <w:pPr>
        <w:pStyle w:val="65ReferencesTextstylesTextstyles"/>
        <w:rPr>
          <w:highlight w:val="yellow"/>
        </w:rPr>
      </w:pPr>
      <w:commentRangeStart w:id="44"/>
      <w:r w:rsidRPr="004A3EB7">
        <w:rPr>
          <w:highlight w:val="yellow"/>
        </w:rPr>
        <w:t>54.</w:t>
      </w:r>
      <w:r w:rsidRPr="004A3EB7">
        <w:rPr>
          <w:highlight w:val="yellow"/>
        </w:rPr>
        <w:tab/>
        <w:t xml:space="preserve">Judge A, Arden NK, Cooper C, Kassim Javaid M, Carr AJ, Field RE, Dieppe PA. Predictors of outcomes of total knee replacement surgery. </w:t>
      </w:r>
      <w:r w:rsidRPr="004A3EB7">
        <w:rPr>
          <w:i/>
          <w:highlight w:val="yellow"/>
        </w:rPr>
        <w:t>Rheumatology</w:t>
      </w:r>
      <w:r w:rsidRPr="004A3EB7">
        <w:rPr>
          <w:highlight w:val="yellow"/>
        </w:rPr>
        <w:t xml:space="preserve"> 2012;</w:t>
      </w:r>
      <w:r w:rsidRPr="004A3EB7">
        <w:rPr>
          <w:b/>
          <w:highlight w:val="yellow"/>
        </w:rPr>
        <w:t>51</w:t>
      </w:r>
      <w:r w:rsidRPr="004A3EB7">
        <w:rPr>
          <w:highlight w:val="yellow"/>
        </w:rPr>
        <w:t>:</w:t>
      </w:r>
      <w:r w:rsidRPr="004A3EB7">
        <w:rPr>
          <w:color w:val="auto"/>
          <w:highlight w:val="yellow"/>
        </w:rPr>
        <w:t>1804</w:t>
      </w:r>
      <w:r w:rsidRPr="004A3EB7">
        <w:rPr>
          <w:color w:val="00B0F0"/>
          <w:highlight w:val="yellow"/>
        </w:rPr>
        <w:t>–</w:t>
      </w:r>
      <w:r w:rsidRPr="004A3EB7">
        <w:rPr>
          <w:color w:val="auto"/>
          <w:highlight w:val="yellow"/>
        </w:rPr>
        <w:t>13</w:t>
      </w:r>
      <w:r w:rsidRPr="004A3EB7">
        <w:rPr>
          <w:highlight w:val="yellow"/>
        </w:rPr>
        <w:t>.</w:t>
      </w:r>
      <w:commentRangeEnd w:id="44"/>
      <w:r>
        <w:rPr>
          <w:rStyle w:val="CommentReference"/>
          <w:rFonts w:asciiTheme="minorHAnsi" w:eastAsiaTheme="minorHAnsi" w:hAnsiTheme="minorHAnsi" w:cstheme="minorBidi"/>
          <w:color w:val="auto"/>
        </w:rPr>
        <w:commentReference w:id="44"/>
      </w:r>
    </w:p>
    <w:p w14:paraId="7DE2CF90" w14:textId="74297716" w:rsidR="004A3EB7" w:rsidRPr="004A3EB7" w:rsidRDefault="004A3EB7" w:rsidP="00666310">
      <w:pPr>
        <w:pStyle w:val="65ReferencesTextstylesTextstyles"/>
        <w:rPr>
          <w:highlight w:val="yellow"/>
        </w:rPr>
      </w:pPr>
      <w:commentRangeStart w:id="45"/>
      <w:r w:rsidRPr="004A3EB7">
        <w:rPr>
          <w:highlight w:val="yellow"/>
        </w:rPr>
        <w:t>55.</w:t>
      </w:r>
      <w:r w:rsidRPr="004A3EB7">
        <w:rPr>
          <w:highlight w:val="yellow"/>
        </w:rPr>
        <w:tab/>
        <w:t xml:space="preserve">Lopez-Olivo MA, Landon GC, Siff SJ, Edelstein D, Pak C, Kallen MA, </w:t>
      </w:r>
      <w:r w:rsidRPr="004A3EB7">
        <w:rPr>
          <w:i/>
          <w:highlight w:val="yellow"/>
        </w:rPr>
        <w:t>et al</w:t>
      </w:r>
      <w:r w:rsidRPr="004A3EB7">
        <w:rPr>
          <w:highlight w:val="yellow"/>
        </w:rPr>
        <w:t xml:space="preserve">. Psychosocial determinants of outcomes in knee replacement. </w:t>
      </w:r>
      <w:r w:rsidRPr="004A3EB7">
        <w:rPr>
          <w:i/>
          <w:highlight w:val="yellow"/>
        </w:rPr>
        <w:t>Ann Rheum Dis</w:t>
      </w:r>
      <w:r w:rsidRPr="004A3EB7">
        <w:rPr>
          <w:highlight w:val="yellow"/>
        </w:rPr>
        <w:t xml:space="preserve"> 2011;</w:t>
      </w:r>
      <w:r w:rsidRPr="004A3EB7">
        <w:rPr>
          <w:b/>
          <w:highlight w:val="yellow"/>
        </w:rPr>
        <w:t>70</w:t>
      </w:r>
      <w:r w:rsidRPr="004A3EB7">
        <w:rPr>
          <w:highlight w:val="yellow"/>
        </w:rPr>
        <w:t>:</w:t>
      </w:r>
      <w:r w:rsidRPr="004A3EB7">
        <w:rPr>
          <w:color w:val="auto"/>
          <w:highlight w:val="yellow"/>
        </w:rPr>
        <w:t>1775</w:t>
      </w:r>
      <w:r w:rsidRPr="004A3EB7">
        <w:rPr>
          <w:color w:val="00B0F0"/>
          <w:highlight w:val="yellow"/>
        </w:rPr>
        <w:t>–</w:t>
      </w:r>
      <w:r w:rsidRPr="004A3EB7">
        <w:rPr>
          <w:color w:val="auto"/>
          <w:highlight w:val="yellow"/>
        </w:rPr>
        <w:t>81</w:t>
      </w:r>
      <w:r w:rsidRPr="004A3EB7">
        <w:rPr>
          <w:highlight w:val="yellow"/>
        </w:rPr>
        <w:t>. https://doi.org/10.1136/ard.2010.146423</w:t>
      </w:r>
      <w:commentRangeEnd w:id="45"/>
      <w:r>
        <w:rPr>
          <w:rStyle w:val="CommentReference"/>
          <w:rFonts w:asciiTheme="minorHAnsi" w:eastAsiaTheme="minorHAnsi" w:hAnsiTheme="minorHAnsi" w:cstheme="minorBidi"/>
          <w:color w:val="auto"/>
        </w:rPr>
        <w:commentReference w:id="45"/>
      </w:r>
    </w:p>
    <w:p w14:paraId="3A71FD55" w14:textId="75CA76EF" w:rsidR="004A3EB7" w:rsidRPr="004A3EB7" w:rsidRDefault="004A3EB7" w:rsidP="00666310">
      <w:pPr>
        <w:pStyle w:val="65ReferencesTextstylesTextstyles"/>
        <w:rPr>
          <w:highlight w:val="yellow"/>
        </w:rPr>
      </w:pPr>
      <w:commentRangeStart w:id="46"/>
      <w:r w:rsidRPr="004A3EB7">
        <w:rPr>
          <w:highlight w:val="yellow"/>
        </w:rPr>
        <w:t>56.</w:t>
      </w:r>
      <w:r w:rsidRPr="004A3EB7">
        <w:rPr>
          <w:highlight w:val="yellow"/>
        </w:rPr>
        <w:tab/>
        <w:t xml:space="preserve">Macrae WA. Chronic post-surgical pain: 10 years on. </w:t>
      </w:r>
      <w:r w:rsidRPr="004A3EB7">
        <w:rPr>
          <w:i/>
          <w:highlight w:val="yellow"/>
        </w:rPr>
        <w:t>Br J Anaesth</w:t>
      </w:r>
      <w:r w:rsidRPr="004A3EB7">
        <w:rPr>
          <w:highlight w:val="yellow"/>
        </w:rPr>
        <w:t xml:space="preserve"> 2008;</w:t>
      </w:r>
      <w:r w:rsidRPr="004A3EB7">
        <w:rPr>
          <w:b/>
          <w:highlight w:val="yellow"/>
        </w:rPr>
        <w:t>101</w:t>
      </w:r>
      <w:r w:rsidRPr="004A3EB7">
        <w:rPr>
          <w:highlight w:val="yellow"/>
        </w:rPr>
        <w:t>:</w:t>
      </w:r>
      <w:r w:rsidRPr="004A3EB7">
        <w:rPr>
          <w:color w:val="auto"/>
          <w:highlight w:val="yellow"/>
        </w:rPr>
        <w:t>77</w:t>
      </w:r>
      <w:r w:rsidRPr="004A3EB7">
        <w:rPr>
          <w:color w:val="00B0F0"/>
          <w:highlight w:val="yellow"/>
        </w:rPr>
        <w:t>–</w:t>
      </w:r>
      <w:r w:rsidRPr="004A3EB7">
        <w:rPr>
          <w:color w:val="auto"/>
          <w:highlight w:val="yellow"/>
        </w:rPr>
        <w:t>86</w:t>
      </w:r>
      <w:r w:rsidRPr="004A3EB7">
        <w:rPr>
          <w:highlight w:val="yellow"/>
        </w:rPr>
        <w:t>. https://doi.org/10.1093/bja/aen099</w:t>
      </w:r>
      <w:commentRangeEnd w:id="46"/>
      <w:r>
        <w:rPr>
          <w:rStyle w:val="CommentReference"/>
          <w:rFonts w:asciiTheme="minorHAnsi" w:eastAsiaTheme="minorHAnsi" w:hAnsiTheme="minorHAnsi" w:cstheme="minorBidi"/>
          <w:color w:val="auto"/>
        </w:rPr>
        <w:commentReference w:id="46"/>
      </w:r>
    </w:p>
    <w:p w14:paraId="5DBEC335" w14:textId="7341970C" w:rsidR="004A3EB7" w:rsidRPr="004A3EB7" w:rsidRDefault="004A3EB7" w:rsidP="00666310">
      <w:pPr>
        <w:pStyle w:val="65ReferencesTextstylesTextstyles"/>
        <w:rPr>
          <w:highlight w:val="yellow"/>
        </w:rPr>
      </w:pPr>
      <w:commentRangeStart w:id="47"/>
      <w:r w:rsidRPr="004A3EB7">
        <w:rPr>
          <w:highlight w:val="yellow"/>
        </w:rPr>
        <w:t>57.</w:t>
      </w:r>
      <w:r w:rsidRPr="004A3EB7">
        <w:rPr>
          <w:highlight w:val="yellow"/>
        </w:rPr>
        <w:tab/>
        <w:t xml:space="preserve">Peters ML, Sommer M, de Rijke JM, Kessels F, Heineman E, Patijn J, </w:t>
      </w:r>
      <w:r w:rsidRPr="004A3EB7">
        <w:rPr>
          <w:i/>
          <w:highlight w:val="yellow"/>
        </w:rPr>
        <w:t>et al</w:t>
      </w:r>
      <w:r w:rsidRPr="004A3EB7">
        <w:rPr>
          <w:highlight w:val="yellow"/>
        </w:rPr>
        <w:t xml:space="preserve">. Somatic and psychologic predictors of long-term unfavorable outcome after surgical intervention. </w:t>
      </w:r>
      <w:r w:rsidRPr="004A3EB7">
        <w:rPr>
          <w:i/>
          <w:highlight w:val="yellow"/>
        </w:rPr>
        <w:t>Ann Surg</w:t>
      </w:r>
      <w:r w:rsidRPr="004A3EB7">
        <w:rPr>
          <w:highlight w:val="yellow"/>
        </w:rPr>
        <w:t xml:space="preserve"> 2007;</w:t>
      </w:r>
      <w:r w:rsidRPr="004A3EB7">
        <w:rPr>
          <w:b/>
          <w:highlight w:val="yellow"/>
        </w:rPr>
        <w:t>245</w:t>
      </w:r>
      <w:r w:rsidRPr="004A3EB7">
        <w:rPr>
          <w:highlight w:val="yellow"/>
        </w:rPr>
        <w:t>:</w:t>
      </w:r>
      <w:r w:rsidRPr="004A3EB7">
        <w:rPr>
          <w:color w:val="auto"/>
          <w:highlight w:val="yellow"/>
        </w:rPr>
        <w:t>487</w:t>
      </w:r>
      <w:r w:rsidRPr="004A3EB7">
        <w:rPr>
          <w:color w:val="00B0F0"/>
          <w:highlight w:val="yellow"/>
        </w:rPr>
        <w:t>–</w:t>
      </w:r>
      <w:r w:rsidRPr="004A3EB7">
        <w:rPr>
          <w:color w:val="auto"/>
          <w:highlight w:val="yellow"/>
        </w:rPr>
        <w:t>94</w:t>
      </w:r>
      <w:r w:rsidRPr="004A3EB7">
        <w:rPr>
          <w:highlight w:val="yellow"/>
        </w:rPr>
        <w:t>. https://doi.org/10.1097/01.sla.0000245495.79781.65</w:t>
      </w:r>
      <w:commentRangeEnd w:id="47"/>
      <w:r>
        <w:rPr>
          <w:rStyle w:val="CommentReference"/>
          <w:rFonts w:asciiTheme="minorHAnsi" w:eastAsiaTheme="minorHAnsi" w:hAnsiTheme="minorHAnsi" w:cstheme="minorBidi"/>
          <w:color w:val="auto"/>
        </w:rPr>
        <w:commentReference w:id="47"/>
      </w:r>
    </w:p>
    <w:p w14:paraId="5051C35D" w14:textId="364C9AAD" w:rsidR="004A3EB7" w:rsidRPr="004A3EB7" w:rsidRDefault="004A3EB7" w:rsidP="00666310">
      <w:pPr>
        <w:pStyle w:val="65ReferencesTextstylesTextstyles"/>
        <w:rPr>
          <w:highlight w:val="yellow"/>
        </w:rPr>
      </w:pPr>
      <w:commentRangeStart w:id="48"/>
      <w:r w:rsidRPr="004A3EB7">
        <w:rPr>
          <w:highlight w:val="yellow"/>
        </w:rPr>
        <w:t>58.</w:t>
      </w:r>
      <w:r w:rsidRPr="004A3EB7">
        <w:rPr>
          <w:highlight w:val="yellow"/>
        </w:rPr>
        <w:tab/>
        <w:t xml:space="preserve">Krenzel BA, Cook C, Martin GN, Vail TP, Attarian DE, Bolognesi MP. Posterior capsular injections of ropivacaine during total knee arthroplasty: a randomized, double-blind, placebo-controlled study. </w:t>
      </w:r>
      <w:r w:rsidRPr="004A3EB7">
        <w:rPr>
          <w:i/>
          <w:highlight w:val="yellow"/>
        </w:rPr>
        <w:t>J Arthroplasty</w:t>
      </w:r>
      <w:r w:rsidRPr="004A3EB7">
        <w:rPr>
          <w:highlight w:val="yellow"/>
        </w:rPr>
        <w:t xml:space="preserve"> 2009;</w:t>
      </w:r>
      <w:r w:rsidRPr="004A3EB7">
        <w:rPr>
          <w:b/>
          <w:highlight w:val="yellow"/>
        </w:rPr>
        <w:t>24</w:t>
      </w:r>
      <w:r w:rsidRPr="004A3EB7">
        <w:rPr>
          <w:highlight w:val="yellow"/>
        </w:rPr>
        <w:t>(Suppl. 6):</w:t>
      </w:r>
      <w:r w:rsidRPr="004A3EB7">
        <w:rPr>
          <w:color w:val="auto"/>
          <w:highlight w:val="yellow"/>
        </w:rPr>
        <w:t>138</w:t>
      </w:r>
      <w:r w:rsidRPr="004A3EB7">
        <w:rPr>
          <w:color w:val="00B0F0"/>
          <w:highlight w:val="yellow"/>
        </w:rPr>
        <w:t>–</w:t>
      </w:r>
      <w:r w:rsidRPr="004A3EB7">
        <w:rPr>
          <w:color w:val="auto"/>
          <w:highlight w:val="yellow"/>
        </w:rPr>
        <w:t>43</w:t>
      </w:r>
      <w:r w:rsidRPr="004A3EB7">
        <w:rPr>
          <w:highlight w:val="yellow"/>
        </w:rPr>
        <w:t>. https://doi.org/10.1016/j.arth.2009.03.014</w:t>
      </w:r>
      <w:commentRangeEnd w:id="48"/>
      <w:r>
        <w:rPr>
          <w:rStyle w:val="CommentReference"/>
          <w:rFonts w:asciiTheme="minorHAnsi" w:eastAsiaTheme="minorHAnsi" w:hAnsiTheme="minorHAnsi" w:cstheme="minorBidi"/>
          <w:color w:val="auto"/>
        </w:rPr>
        <w:commentReference w:id="48"/>
      </w:r>
    </w:p>
    <w:p w14:paraId="00C91880" w14:textId="33D6A74E" w:rsidR="004A3EB7" w:rsidRPr="004A3EB7" w:rsidRDefault="004A3EB7" w:rsidP="00666310">
      <w:pPr>
        <w:pStyle w:val="65ReferencesTextstylesTextstyles"/>
        <w:rPr>
          <w:highlight w:val="yellow"/>
        </w:rPr>
      </w:pPr>
      <w:commentRangeStart w:id="49"/>
      <w:r w:rsidRPr="004A3EB7">
        <w:rPr>
          <w:highlight w:val="yellow"/>
        </w:rPr>
        <w:t>59.</w:t>
      </w:r>
      <w:r w:rsidRPr="004A3EB7">
        <w:rPr>
          <w:highlight w:val="yellow"/>
        </w:rPr>
        <w:tab/>
        <w:t xml:space="preserve">Toftdahl K, Nikolajsen L, Haraldsted V, Madsen F, Tønnesen EK, Søballe K. Comparison of peri- and intraarticular analgesia with femoral nerve block after total knee arthroplasty: a randomized clinical trial. </w:t>
      </w:r>
      <w:r w:rsidRPr="004A3EB7">
        <w:rPr>
          <w:i/>
          <w:highlight w:val="yellow"/>
        </w:rPr>
        <w:t>Acta Orthop</w:t>
      </w:r>
      <w:r w:rsidRPr="004A3EB7">
        <w:rPr>
          <w:highlight w:val="yellow"/>
        </w:rPr>
        <w:t xml:space="preserve"> 2007;</w:t>
      </w:r>
      <w:r w:rsidRPr="004A3EB7">
        <w:rPr>
          <w:b/>
          <w:highlight w:val="yellow"/>
        </w:rPr>
        <w:t>78</w:t>
      </w:r>
      <w:r w:rsidRPr="004A3EB7">
        <w:rPr>
          <w:highlight w:val="yellow"/>
        </w:rPr>
        <w:t>:</w:t>
      </w:r>
      <w:r w:rsidRPr="004A3EB7">
        <w:rPr>
          <w:color w:val="auto"/>
          <w:highlight w:val="yellow"/>
        </w:rPr>
        <w:t>172</w:t>
      </w:r>
      <w:r w:rsidRPr="004A3EB7">
        <w:rPr>
          <w:color w:val="00B0F0"/>
          <w:highlight w:val="yellow"/>
        </w:rPr>
        <w:t>–</w:t>
      </w:r>
      <w:r w:rsidRPr="004A3EB7">
        <w:rPr>
          <w:color w:val="auto"/>
          <w:highlight w:val="yellow"/>
        </w:rPr>
        <w:t>9</w:t>
      </w:r>
      <w:r w:rsidRPr="004A3EB7">
        <w:rPr>
          <w:highlight w:val="yellow"/>
        </w:rPr>
        <w:t>.</w:t>
      </w:r>
      <w:commentRangeEnd w:id="49"/>
      <w:r>
        <w:rPr>
          <w:rStyle w:val="CommentReference"/>
          <w:rFonts w:asciiTheme="minorHAnsi" w:eastAsiaTheme="minorHAnsi" w:hAnsiTheme="minorHAnsi" w:cstheme="minorBidi"/>
          <w:color w:val="auto"/>
        </w:rPr>
        <w:commentReference w:id="49"/>
      </w:r>
    </w:p>
    <w:p w14:paraId="54B6068F" w14:textId="0584875E" w:rsidR="004A3EB7" w:rsidRPr="004A3EB7" w:rsidRDefault="004A3EB7" w:rsidP="00666310">
      <w:pPr>
        <w:pStyle w:val="65ReferencesTextstylesTextstyles"/>
        <w:rPr>
          <w:highlight w:val="yellow"/>
        </w:rPr>
      </w:pPr>
      <w:commentRangeStart w:id="50"/>
      <w:r w:rsidRPr="004A3EB7">
        <w:rPr>
          <w:highlight w:val="yellow"/>
        </w:rPr>
        <w:t>60.</w:t>
      </w:r>
      <w:r w:rsidRPr="004A3EB7">
        <w:rPr>
          <w:highlight w:val="yellow"/>
        </w:rPr>
        <w:tab/>
        <w:t xml:space="preserve">Wylde V, Lenguerrand E, Gooberman-Hill R, Beswick AD, Marques E, Noble S, </w:t>
      </w:r>
      <w:r w:rsidRPr="004A3EB7">
        <w:rPr>
          <w:i/>
          <w:highlight w:val="yellow"/>
        </w:rPr>
        <w:t>et al</w:t>
      </w:r>
      <w:r w:rsidRPr="004A3EB7">
        <w:rPr>
          <w:highlight w:val="yellow"/>
        </w:rPr>
        <w:t xml:space="preserve">. Effect of local anaesthetic infiltration on chronic postsurgical pain after total hip and knee replacement: the APEX randomised controlled trials. </w:t>
      </w:r>
      <w:r w:rsidRPr="004A3EB7">
        <w:rPr>
          <w:i/>
          <w:highlight w:val="yellow"/>
        </w:rPr>
        <w:t>Pain</w:t>
      </w:r>
      <w:r w:rsidRPr="004A3EB7">
        <w:rPr>
          <w:highlight w:val="yellow"/>
        </w:rPr>
        <w:t xml:space="preserve"> 2015;</w:t>
      </w:r>
      <w:r w:rsidRPr="004A3EB7">
        <w:rPr>
          <w:b/>
          <w:highlight w:val="yellow"/>
        </w:rPr>
        <w:t>156</w:t>
      </w:r>
      <w:r w:rsidRPr="004A3EB7">
        <w:rPr>
          <w:highlight w:val="yellow"/>
        </w:rPr>
        <w:t>:</w:t>
      </w:r>
      <w:r w:rsidRPr="004A3EB7">
        <w:rPr>
          <w:color w:val="auto"/>
          <w:highlight w:val="yellow"/>
        </w:rPr>
        <w:t>1161</w:t>
      </w:r>
      <w:r>
        <w:rPr>
          <w:color w:val="00B0F0"/>
          <w:highlight w:val="yellow"/>
        </w:rPr>
        <w:t>–</w:t>
      </w:r>
      <w:r w:rsidRPr="004A3EB7">
        <w:rPr>
          <w:color w:val="auto"/>
          <w:highlight w:val="yellow"/>
        </w:rPr>
        <w:t>70</w:t>
      </w:r>
      <w:r w:rsidRPr="004A3EB7">
        <w:rPr>
          <w:highlight w:val="yellow"/>
        </w:rPr>
        <w:t>. https://doi.org/10.1097/j.pain.0000000000000114</w:t>
      </w:r>
      <w:commentRangeEnd w:id="50"/>
      <w:r>
        <w:rPr>
          <w:rStyle w:val="CommentReference"/>
          <w:rFonts w:asciiTheme="minorHAnsi" w:eastAsiaTheme="minorHAnsi" w:hAnsiTheme="minorHAnsi" w:cstheme="minorBidi"/>
          <w:color w:val="auto"/>
        </w:rPr>
        <w:commentReference w:id="50"/>
      </w:r>
    </w:p>
    <w:p w14:paraId="4D0E85CD" w14:textId="5B45886D" w:rsidR="004A3EB7" w:rsidRPr="004A3EB7" w:rsidRDefault="004A3EB7" w:rsidP="00666310">
      <w:pPr>
        <w:pStyle w:val="65ReferencesTextstylesTextstyles"/>
        <w:rPr>
          <w:highlight w:val="yellow"/>
        </w:rPr>
      </w:pPr>
      <w:commentRangeStart w:id="51"/>
      <w:r w:rsidRPr="004A3EB7">
        <w:rPr>
          <w:highlight w:val="yellow"/>
        </w:rPr>
        <w:t>61.</w:t>
      </w:r>
      <w:r w:rsidRPr="004A3EB7">
        <w:rPr>
          <w:highlight w:val="yellow"/>
        </w:rPr>
        <w:tab/>
        <w:t xml:space="preserve">Shipton EA, Tait B. Flagging the pain: preventing the burden of chronic pain by identifying and treating risk factors in acute pain. </w:t>
      </w:r>
      <w:r w:rsidRPr="004A3EB7">
        <w:rPr>
          <w:i/>
          <w:highlight w:val="yellow"/>
        </w:rPr>
        <w:t>Eur J Anaesthesiol</w:t>
      </w:r>
      <w:r w:rsidRPr="004A3EB7">
        <w:rPr>
          <w:highlight w:val="yellow"/>
        </w:rPr>
        <w:t xml:space="preserve"> 2005;</w:t>
      </w:r>
      <w:r w:rsidRPr="004A3EB7">
        <w:rPr>
          <w:b/>
          <w:highlight w:val="yellow"/>
        </w:rPr>
        <w:t>22</w:t>
      </w:r>
      <w:r w:rsidRPr="004A3EB7">
        <w:rPr>
          <w:highlight w:val="yellow"/>
        </w:rPr>
        <w:t>:</w:t>
      </w:r>
      <w:r w:rsidRPr="004A3EB7">
        <w:rPr>
          <w:color w:val="auto"/>
          <w:highlight w:val="yellow"/>
        </w:rPr>
        <w:t>405</w:t>
      </w:r>
      <w:r w:rsidRPr="004A3EB7">
        <w:rPr>
          <w:color w:val="00B0F0"/>
          <w:highlight w:val="yellow"/>
        </w:rPr>
        <w:t>–</w:t>
      </w:r>
      <w:r w:rsidRPr="004A3EB7">
        <w:rPr>
          <w:color w:val="auto"/>
          <w:highlight w:val="yellow"/>
        </w:rPr>
        <w:t>12</w:t>
      </w:r>
      <w:r w:rsidRPr="004A3EB7">
        <w:rPr>
          <w:highlight w:val="yellow"/>
        </w:rPr>
        <w:t>. https://doi.org/10.1017/s0265021505000694</w:t>
      </w:r>
      <w:commentRangeEnd w:id="51"/>
      <w:r>
        <w:rPr>
          <w:rStyle w:val="CommentReference"/>
          <w:rFonts w:asciiTheme="minorHAnsi" w:eastAsiaTheme="minorHAnsi" w:hAnsiTheme="minorHAnsi" w:cstheme="minorBidi"/>
          <w:color w:val="auto"/>
        </w:rPr>
        <w:commentReference w:id="51"/>
      </w:r>
    </w:p>
    <w:p w14:paraId="25B5E6A2" w14:textId="158FA800" w:rsidR="004A3EB7" w:rsidRPr="004A3EB7" w:rsidRDefault="004A3EB7" w:rsidP="00666310">
      <w:pPr>
        <w:pStyle w:val="65ReferencesTextstylesTextstyles"/>
        <w:rPr>
          <w:highlight w:val="yellow"/>
        </w:rPr>
      </w:pPr>
      <w:commentRangeStart w:id="52"/>
      <w:r w:rsidRPr="004A3EB7">
        <w:rPr>
          <w:highlight w:val="yellow"/>
        </w:rPr>
        <w:t>62.</w:t>
      </w:r>
      <w:r w:rsidRPr="004A3EB7">
        <w:rPr>
          <w:highlight w:val="yellow"/>
        </w:rPr>
        <w:tab/>
        <w:t xml:space="preserve">Wang L, Lee M, Zhang Z, Moodie J, Cheng D, Martin J. Does preoperative rehabilitation for patients planning to undergo joint replacement surgery improve outcomes? A systematic </w:t>
      </w:r>
      <w:r w:rsidRPr="004A3EB7">
        <w:rPr>
          <w:highlight w:val="yellow"/>
        </w:rPr>
        <w:lastRenderedPageBreak/>
        <w:t xml:space="preserve">review and meta-analysis of randomised controlled trials. </w:t>
      </w:r>
      <w:r w:rsidRPr="004A3EB7">
        <w:rPr>
          <w:i/>
          <w:highlight w:val="yellow"/>
        </w:rPr>
        <w:t>BMJ Open</w:t>
      </w:r>
      <w:r w:rsidRPr="004A3EB7">
        <w:rPr>
          <w:highlight w:val="yellow"/>
        </w:rPr>
        <w:t xml:space="preserve"> 2016;</w:t>
      </w:r>
      <w:r w:rsidRPr="004A3EB7">
        <w:rPr>
          <w:b/>
          <w:highlight w:val="yellow"/>
        </w:rPr>
        <w:t>6</w:t>
      </w:r>
      <w:r w:rsidRPr="004A3EB7">
        <w:rPr>
          <w:highlight w:val="yellow"/>
        </w:rPr>
        <w:t>:</w:t>
      </w:r>
      <w:r w:rsidRPr="004A3EB7">
        <w:rPr>
          <w:color w:val="auto"/>
          <w:highlight w:val="yellow"/>
        </w:rPr>
        <w:t>e009857</w:t>
      </w:r>
      <w:r w:rsidRPr="004A3EB7">
        <w:rPr>
          <w:highlight w:val="yellow"/>
        </w:rPr>
        <w:t>. https://doi.org/10.1136/bmjopen-2015-009857</w:t>
      </w:r>
      <w:commentRangeEnd w:id="52"/>
      <w:r>
        <w:rPr>
          <w:rStyle w:val="CommentReference"/>
          <w:rFonts w:asciiTheme="minorHAnsi" w:eastAsiaTheme="minorHAnsi" w:hAnsiTheme="minorHAnsi" w:cstheme="minorBidi"/>
          <w:color w:val="auto"/>
        </w:rPr>
        <w:commentReference w:id="52"/>
      </w:r>
    </w:p>
    <w:p w14:paraId="077D4C5E" w14:textId="432CB8C7" w:rsidR="004A3EB7" w:rsidRPr="004A3EB7" w:rsidRDefault="004A3EB7" w:rsidP="00666310">
      <w:pPr>
        <w:pStyle w:val="65ReferencesTextstylesTextstyles"/>
        <w:rPr>
          <w:highlight w:val="yellow"/>
        </w:rPr>
      </w:pPr>
      <w:commentRangeStart w:id="53"/>
      <w:r w:rsidRPr="004A3EB7">
        <w:rPr>
          <w:highlight w:val="yellow"/>
        </w:rPr>
        <w:t>63.</w:t>
      </w:r>
      <w:r w:rsidRPr="004A3EB7">
        <w:rPr>
          <w:highlight w:val="yellow"/>
        </w:rPr>
        <w:tab/>
        <w:t xml:space="preserve">Ashrani AA, Heit JA. Incidence and cost burden of post-thrombotic syndrome. </w:t>
      </w:r>
      <w:r w:rsidRPr="004A3EB7">
        <w:rPr>
          <w:i/>
          <w:highlight w:val="yellow"/>
        </w:rPr>
        <w:t>J Thromb Thrombolysis</w:t>
      </w:r>
      <w:r w:rsidRPr="004A3EB7">
        <w:rPr>
          <w:highlight w:val="yellow"/>
        </w:rPr>
        <w:t xml:space="preserve"> 2009;</w:t>
      </w:r>
      <w:r w:rsidRPr="004A3EB7">
        <w:rPr>
          <w:b/>
          <w:highlight w:val="yellow"/>
        </w:rPr>
        <w:t>28</w:t>
      </w:r>
      <w:r w:rsidRPr="004A3EB7">
        <w:rPr>
          <w:highlight w:val="yellow"/>
        </w:rPr>
        <w:t>:</w:t>
      </w:r>
      <w:r w:rsidRPr="004A3EB7">
        <w:rPr>
          <w:color w:val="auto"/>
          <w:highlight w:val="yellow"/>
        </w:rPr>
        <w:t>465</w:t>
      </w:r>
      <w:r w:rsidRPr="004A3EB7">
        <w:rPr>
          <w:color w:val="00B0F0"/>
          <w:highlight w:val="yellow"/>
        </w:rPr>
        <w:t>–</w:t>
      </w:r>
      <w:r w:rsidRPr="004A3EB7">
        <w:rPr>
          <w:color w:val="auto"/>
          <w:highlight w:val="yellow"/>
        </w:rPr>
        <w:t>76</w:t>
      </w:r>
      <w:r w:rsidRPr="004A3EB7">
        <w:rPr>
          <w:highlight w:val="yellow"/>
        </w:rPr>
        <w:t>. https://doi.org/10.1007/s11239-009-0309-3</w:t>
      </w:r>
      <w:commentRangeEnd w:id="53"/>
      <w:r>
        <w:rPr>
          <w:rStyle w:val="CommentReference"/>
          <w:rFonts w:asciiTheme="minorHAnsi" w:eastAsiaTheme="minorHAnsi" w:hAnsiTheme="minorHAnsi" w:cstheme="minorBidi"/>
          <w:color w:val="auto"/>
        </w:rPr>
        <w:commentReference w:id="53"/>
      </w:r>
    </w:p>
    <w:p w14:paraId="3330A5D2" w14:textId="25B98DA6" w:rsidR="004A3EB7" w:rsidRPr="004A3EB7" w:rsidRDefault="004A3EB7" w:rsidP="00666310">
      <w:pPr>
        <w:pStyle w:val="65ReferencesTextstylesTextstyles"/>
        <w:rPr>
          <w:highlight w:val="yellow"/>
        </w:rPr>
      </w:pPr>
      <w:commentRangeStart w:id="54"/>
      <w:r w:rsidRPr="004A3EB7">
        <w:rPr>
          <w:highlight w:val="yellow"/>
        </w:rPr>
        <w:t>64.</w:t>
      </w:r>
      <w:r w:rsidRPr="004A3EB7">
        <w:rPr>
          <w:highlight w:val="yellow"/>
        </w:rPr>
        <w:tab/>
        <w:t xml:space="preserve">Dreyer HC. Tourniquet Use During Knee Replacement Surgery May Contribute to Muscle Atrophy in Older Adults. </w:t>
      </w:r>
      <w:r w:rsidRPr="004A3EB7">
        <w:rPr>
          <w:i/>
          <w:highlight w:val="yellow"/>
        </w:rPr>
        <w:t>Exerc Sport Sci Rev</w:t>
      </w:r>
      <w:r w:rsidRPr="004A3EB7">
        <w:rPr>
          <w:highlight w:val="yellow"/>
        </w:rPr>
        <w:t xml:space="preserve"> 2016;</w:t>
      </w:r>
      <w:r w:rsidRPr="004A3EB7">
        <w:rPr>
          <w:b/>
          <w:highlight w:val="yellow"/>
        </w:rPr>
        <w:t>44</w:t>
      </w:r>
      <w:r w:rsidRPr="004A3EB7">
        <w:rPr>
          <w:highlight w:val="yellow"/>
        </w:rPr>
        <w:t>:</w:t>
      </w:r>
      <w:r w:rsidRPr="004A3EB7">
        <w:rPr>
          <w:color w:val="auto"/>
          <w:highlight w:val="yellow"/>
        </w:rPr>
        <w:t>61</w:t>
      </w:r>
      <w:r w:rsidRPr="004A3EB7">
        <w:rPr>
          <w:color w:val="00B0F0"/>
          <w:highlight w:val="yellow"/>
        </w:rPr>
        <w:t>–</w:t>
      </w:r>
      <w:r w:rsidRPr="004A3EB7">
        <w:rPr>
          <w:color w:val="auto"/>
          <w:highlight w:val="yellow"/>
        </w:rPr>
        <w:t>70</w:t>
      </w:r>
      <w:r w:rsidRPr="004A3EB7">
        <w:rPr>
          <w:highlight w:val="yellow"/>
        </w:rPr>
        <w:t>. https://doi.org/10.1249/JES.0000000000000076</w:t>
      </w:r>
      <w:commentRangeEnd w:id="54"/>
      <w:r>
        <w:rPr>
          <w:rStyle w:val="CommentReference"/>
          <w:rFonts w:asciiTheme="minorHAnsi" w:eastAsiaTheme="minorHAnsi" w:hAnsiTheme="minorHAnsi" w:cstheme="minorBidi"/>
          <w:color w:val="auto"/>
        </w:rPr>
        <w:commentReference w:id="54"/>
      </w:r>
    </w:p>
    <w:p w14:paraId="1E84CB50" w14:textId="5A7BED99" w:rsidR="004A3EB7" w:rsidRPr="004A3EB7" w:rsidRDefault="004A3EB7" w:rsidP="00666310">
      <w:pPr>
        <w:pStyle w:val="65ReferencesTextstylesTextstyles"/>
        <w:rPr>
          <w:highlight w:val="yellow"/>
        </w:rPr>
      </w:pPr>
      <w:commentRangeStart w:id="55"/>
      <w:r w:rsidRPr="004A3EB7">
        <w:rPr>
          <w:highlight w:val="yellow"/>
        </w:rPr>
        <w:t>65.</w:t>
      </w:r>
      <w:r w:rsidRPr="004A3EB7">
        <w:rPr>
          <w:highlight w:val="yellow"/>
        </w:rPr>
        <w:tab/>
        <w:t xml:space="preserve">Kindsfater K, Scott R. Recurrent hemarthrosis after total knee arthroplasty. </w:t>
      </w:r>
      <w:r w:rsidRPr="004A3EB7">
        <w:rPr>
          <w:i/>
          <w:highlight w:val="yellow"/>
        </w:rPr>
        <w:t>J Arthroplasty</w:t>
      </w:r>
      <w:r w:rsidRPr="004A3EB7">
        <w:rPr>
          <w:highlight w:val="yellow"/>
        </w:rPr>
        <w:t xml:space="preserve"> 1995;</w:t>
      </w:r>
      <w:r w:rsidRPr="004A3EB7">
        <w:rPr>
          <w:b/>
          <w:highlight w:val="yellow"/>
        </w:rPr>
        <w:t>10</w:t>
      </w:r>
      <w:r w:rsidRPr="004A3EB7">
        <w:rPr>
          <w:highlight w:val="yellow"/>
        </w:rPr>
        <w:t>:</w:t>
      </w:r>
      <w:r w:rsidRPr="004A3EB7">
        <w:rPr>
          <w:color w:val="auto"/>
          <w:highlight w:val="yellow"/>
        </w:rPr>
        <w:t>S52</w:t>
      </w:r>
      <w:r w:rsidRPr="004A3EB7">
        <w:rPr>
          <w:color w:val="00B0F0"/>
          <w:highlight w:val="yellow"/>
        </w:rPr>
        <w:t>–</w:t>
      </w:r>
      <w:r w:rsidRPr="004A3EB7">
        <w:rPr>
          <w:color w:val="auto"/>
          <w:highlight w:val="yellow"/>
        </w:rPr>
        <w:t>5</w:t>
      </w:r>
      <w:r w:rsidRPr="004A3EB7">
        <w:rPr>
          <w:highlight w:val="yellow"/>
        </w:rPr>
        <w:t>. https://doi.org/10.1016/s0883-5403(05)80231-1</w:t>
      </w:r>
      <w:commentRangeEnd w:id="55"/>
      <w:r>
        <w:rPr>
          <w:rStyle w:val="CommentReference"/>
          <w:rFonts w:asciiTheme="minorHAnsi" w:eastAsiaTheme="minorHAnsi" w:hAnsiTheme="minorHAnsi" w:cstheme="minorBidi"/>
          <w:color w:val="auto"/>
        </w:rPr>
        <w:commentReference w:id="55"/>
      </w:r>
    </w:p>
    <w:p w14:paraId="0396C46E" w14:textId="6CC7DB61" w:rsidR="00666310" w:rsidRPr="00666310" w:rsidRDefault="00666310" w:rsidP="00666310">
      <w:pPr>
        <w:pStyle w:val="65ReferencesTextstylesTextstyles"/>
      </w:pPr>
      <w:r w:rsidRPr="00666310">
        <w:t>66.</w:t>
      </w:r>
      <w:r w:rsidR="004A3EB7">
        <w:tab/>
      </w:r>
      <w:r w:rsidR="00411DB7" w:rsidRPr="00666310">
        <w:t>Epstein NE. A review article on the benefits of early mobilization following spinal surgery and other medical/surgical procedures. Surg Neurol Int. 2014;5(Suppl 3):S66-73.</w:t>
      </w:r>
    </w:p>
    <w:p w14:paraId="297EF20E" w14:textId="5F56EDAF" w:rsidR="004A3EB7" w:rsidRPr="004A3EB7" w:rsidRDefault="004A3EB7" w:rsidP="00666310">
      <w:pPr>
        <w:pStyle w:val="65ReferencesTextstylesTextstyles"/>
        <w:rPr>
          <w:highlight w:val="yellow"/>
        </w:rPr>
      </w:pPr>
      <w:commentRangeStart w:id="56"/>
      <w:r w:rsidRPr="004A3EB7">
        <w:rPr>
          <w:highlight w:val="yellow"/>
        </w:rPr>
        <w:t>67.</w:t>
      </w:r>
      <w:r w:rsidRPr="004A3EB7">
        <w:rPr>
          <w:highlight w:val="yellow"/>
        </w:rPr>
        <w:tab/>
        <w:t xml:space="preserve">Artz N, Dixon S, Wylde V, Beswick A, Blom A, Gooberman-Hill R. Physiotherapy provision following discharge after total hip and total knee replacement: a survey of current practice at high-volume NHS hospitals in England and wales. </w:t>
      </w:r>
      <w:r w:rsidRPr="004A3EB7">
        <w:rPr>
          <w:i/>
          <w:highlight w:val="yellow"/>
        </w:rPr>
        <w:t>Musculoskeletal Care</w:t>
      </w:r>
      <w:r w:rsidRPr="004A3EB7">
        <w:rPr>
          <w:highlight w:val="yellow"/>
        </w:rPr>
        <w:t xml:space="preserve"> 2013;</w:t>
      </w:r>
      <w:r w:rsidRPr="004A3EB7">
        <w:rPr>
          <w:b/>
          <w:highlight w:val="yellow"/>
        </w:rPr>
        <w:t>11</w:t>
      </w:r>
      <w:r w:rsidRPr="004A3EB7">
        <w:rPr>
          <w:highlight w:val="yellow"/>
        </w:rPr>
        <w:t>:</w:t>
      </w:r>
      <w:r w:rsidRPr="004A3EB7">
        <w:rPr>
          <w:color w:val="auto"/>
          <w:highlight w:val="yellow"/>
        </w:rPr>
        <w:t>31</w:t>
      </w:r>
      <w:r w:rsidRPr="004A3EB7">
        <w:rPr>
          <w:color w:val="00B0F0"/>
          <w:highlight w:val="yellow"/>
        </w:rPr>
        <w:t>–</w:t>
      </w:r>
      <w:r w:rsidRPr="004A3EB7">
        <w:rPr>
          <w:color w:val="auto"/>
          <w:highlight w:val="yellow"/>
        </w:rPr>
        <w:t>8</w:t>
      </w:r>
      <w:r w:rsidRPr="004A3EB7">
        <w:rPr>
          <w:highlight w:val="yellow"/>
        </w:rPr>
        <w:t>. https://doi.org/10.1002/msc.1027</w:t>
      </w:r>
      <w:commentRangeEnd w:id="56"/>
      <w:r>
        <w:rPr>
          <w:rStyle w:val="CommentReference"/>
          <w:rFonts w:asciiTheme="minorHAnsi" w:eastAsiaTheme="minorHAnsi" w:hAnsiTheme="minorHAnsi" w:cstheme="minorBidi"/>
          <w:color w:val="auto"/>
        </w:rPr>
        <w:commentReference w:id="56"/>
      </w:r>
    </w:p>
    <w:p w14:paraId="4D9E21C2" w14:textId="24E92A04" w:rsidR="004A3EB7" w:rsidRPr="004A3EB7" w:rsidRDefault="004A3EB7" w:rsidP="00666310">
      <w:pPr>
        <w:pStyle w:val="65ReferencesTextstylesTextstyles"/>
        <w:rPr>
          <w:highlight w:val="yellow"/>
        </w:rPr>
      </w:pPr>
      <w:commentRangeStart w:id="57"/>
      <w:r w:rsidRPr="004A3EB7">
        <w:rPr>
          <w:highlight w:val="yellow"/>
        </w:rPr>
        <w:t>68.</w:t>
      </w:r>
      <w:r w:rsidRPr="004A3EB7">
        <w:rPr>
          <w:highlight w:val="yellow"/>
        </w:rPr>
        <w:tab/>
        <w:t xml:space="preserve">Artz N, Elvers KT, Lowe CM, Sackley C, Jepson P, Beswick AD. Effectiveness of physiotherapy exercise following total knee replacement: systematic review and meta-analysis. </w:t>
      </w:r>
      <w:r w:rsidRPr="004A3EB7">
        <w:rPr>
          <w:i/>
          <w:highlight w:val="yellow"/>
        </w:rPr>
        <w:t>BMC Musculoskelet Disord</w:t>
      </w:r>
      <w:r w:rsidRPr="004A3EB7">
        <w:rPr>
          <w:highlight w:val="yellow"/>
        </w:rPr>
        <w:t xml:space="preserve"> 2015;</w:t>
      </w:r>
      <w:r w:rsidRPr="004A3EB7">
        <w:rPr>
          <w:b/>
          <w:highlight w:val="yellow"/>
        </w:rPr>
        <w:t>16</w:t>
      </w:r>
      <w:r w:rsidRPr="004A3EB7">
        <w:rPr>
          <w:highlight w:val="yellow"/>
        </w:rPr>
        <w:t>:</w:t>
      </w:r>
      <w:r w:rsidRPr="004A3EB7">
        <w:rPr>
          <w:color w:val="auto"/>
          <w:highlight w:val="yellow"/>
        </w:rPr>
        <w:t>15</w:t>
      </w:r>
      <w:r w:rsidRPr="004A3EB7">
        <w:rPr>
          <w:highlight w:val="yellow"/>
        </w:rPr>
        <w:t>. https://doi.org/10.1186/s12891-015-0469-6</w:t>
      </w:r>
      <w:commentRangeEnd w:id="57"/>
      <w:r>
        <w:rPr>
          <w:rStyle w:val="CommentReference"/>
          <w:rFonts w:asciiTheme="minorHAnsi" w:eastAsiaTheme="minorHAnsi" w:hAnsiTheme="minorHAnsi" w:cstheme="minorBidi"/>
          <w:color w:val="auto"/>
        </w:rPr>
        <w:commentReference w:id="57"/>
      </w:r>
    </w:p>
    <w:p w14:paraId="15252721" w14:textId="1FFDB452" w:rsidR="004A3EB7" w:rsidRPr="004A3EB7" w:rsidRDefault="004A3EB7" w:rsidP="00666310">
      <w:pPr>
        <w:pStyle w:val="65ReferencesTextstylesTextstyles"/>
        <w:rPr>
          <w:highlight w:val="yellow"/>
        </w:rPr>
      </w:pPr>
      <w:commentRangeStart w:id="58"/>
      <w:r w:rsidRPr="004A3EB7">
        <w:rPr>
          <w:highlight w:val="yellow"/>
        </w:rPr>
        <w:t>69.</w:t>
      </w:r>
      <w:r w:rsidRPr="004A3EB7">
        <w:rPr>
          <w:highlight w:val="yellow"/>
        </w:rPr>
        <w:tab/>
        <w:t xml:space="preserve">Hamilton DF, Beard DJ, Barker KL, Macfarlane GJ, Tuck CE, Stoddart A, </w:t>
      </w:r>
      <w:r w:rsidRPr="004A3EB7">
        <w:rPr>
          <w:i/>
          <w:highlight w:val="yellow"/>
        </w:rPr>
        <w:t>et al</w:t>
      </w:r>
      <w:r w:rsidRPr="004A3EB7">
        <w:rPr>
          <w:highlight w:val="yellow"/>
        </w:rPr>
        <w:t xml:space="preserve">. Targeting rehabilitation to improve outcomes after total knee arthroplasty in patients at risk of poor outcomes: randomised controlled trial. </w:t>
      </w:r>
      <w:r w:rsidRPr="004A3EB7">
        <w:rPr>
          <w:i/>
          <w:highlight w:val="yellow"/>
        </w:rPr>
        <w:t>BMJ</w:t>
      </w:r>
      <w:r w:rsidRPr="004A3EB7">
        <w:rPr>
          <w:highlight w:val="yellow"/>
        </w:rPr>
        <w:t xml:space="preserve"> 2020;</w:t>
      </w:r>
      <w:r w:rsidRPr="004A3EB7">
        <w:rPr>
          <w:b/>
          <w:highlight w:val="yellow"/>
        </w:rPr>
        <w:t>371</w:t>
      </w:r>
      <w:r w:rsidRPr="004A3EB7">
        <w:rPr>
          <w:highlight w:val="yellow"/>
        </w:rPr>
        <w:t>:</w:t>
      </w:r>
      <w:r w:rsidRPr="004A3EB7">
        <w:rPr>
          <w:color w:val="auto"/>
          <w:highlight w:val="yellow"/>
        </w:rPr>
        <w:t>m3576</w:t>
      </w:r>
      <w:r w:rsidRPr="004A3EB7">
        <w:rPr>
          <w:highlight w:val="yellow"/>
        </w:rPr>
        <w:t>. https://doi.org/10.1136/bmj.m3576</w:t>
      </w:r>
      <w:commentRangeEnd w:id="58"/>
      <w:r>
        <w:rPr>
          <w:rStyle w:val="CommentReference"/>
          <w:rFonts w:asciiTheme="minorHAnsi" w:eastAsiaTheme="minorHAnsi" w:hAnsiTheme="minorHAnsi" w:cstheme="minorBidi"/>
          <w:color w:val="auto"/>
        </w:rPr>
        <w:commentReference w:id="58"/>
      </w:r>
    </w:p>
    <w:p w14:paraId="32FC172F" w14:textId="62FB7199" w:rsidR="004A3EB7" w:rsidRPr="004A3EB7" w:rsidRDefault="004A3EB7" w:rsidP="00666310">
      <w:pPr>
        <w:pStyle w:val="65ReferencesTextstylesTextstyles"/>
        <w:rPr>
          <w:highlight w:val="yellow"/>
        </w:rPr>
      </w:pPr>
      <w:commentRangeStart w:id="59"/>
      <w:commentRangeStart w:id="60"/>
      <w:r w:rsidRPr="004A3EB7">
        <w:rPr>
          <w:highlight w:val="yellow"/>
        </w:rPr>
        <w:t>70.</w:t>
      </w:r>
      <w:r w:rsidRPr="004A3EB7">
        <w:rPr>
          <w:highlight w:val="yellow"/>
        </w:rPr>
        <w:tab/>
        <w:t xml:space="preserve">Khan F, Ng L, Gonzalez S, Hale T, Turner-Stokes L. Multidisciplinary rehabilitation programmes following joint replacement at the hip and knee in chronic arthropathy. </w:t>
      </w:r>
      <w:r w:rsidRPr="004A3EB7">
        <w:rPr>
          <w:i/>
          <w:highlight w:val="yellow"/>
        </w:rPr>
        <w:t>Cochrane Database Syst Rev</w:t>
      </w:r>
      <w:r w:rsidRPr="004A3EB7">
        <w:rPr>
          <w:highlight w:val="yellow"/>
        </w:rPr>
        <w:t xml:space="preserve"> 2008;</w:t>
      </w:r>
      <w:r w:rsidRPr="004A3EB7">
        <w:rPr>
          <w:b/>
          <w:highlight w:val="yellow"/>
        </w:rPr>
        <w:t>2</w:t>
      </w:r>
      <w:r w:rsidRPr="004A3EB7">
        <w:rPr>
          <w:highlight w:val="yellow"/>
        </w:rPr>
        <w:t>:</w:t>
      </w:r>
      <w:r w:rsidRPr="004A3EB7">
        <w:rPr>
          <w:color w:val="auto"/>
          <w:highlight w:val="yellow"/>
        </w:rPr>
        <w:t>CD004957</w:t>
      </w:r>
      <w:r w:rsidRPr="004A3EB7">
        <w:rPr>
          <w:highlight w:val="yellow"/>
        </w:rPr>
        <w:t>. https://doi.org/10.1002/14651858.CD004957.pub3</w:t>
      </w:r>
      <w:commentRangeEnd w:id="59"/>
      <w:r>
        <w:rPr>
          <w:rStyle w:val="CommentReference"/>
          <w:rFonts w:asciiTheme="minorHAnsi" w:eastAsiaTheme="minorHAnsi" w:hAnsiTheme="minorHAnsi" w:cstheme="minorBidi"/>
          <w:color w:val="auto"/>
        </w:rPr>
        <w:commentReference w:id="59"/>
      </w:r>
      <w:commentRangeEnd w:id="60"/>
      <w:r>
        <w:rPr>
          <w:rStyle w:val="CommentReference"/>
          <w:rFonts w:asciiTheme="minorHAnsi" w:eastAsiaTheme="minorHAnsi" w:hAnsiTheme="minorHAnsi" w:cstheme="minorBidi"/>
          <w:color w:val="auto"/>
        </w:rPr>
        <w:commentReference w:id="60"/>
      </w:r>
    </w:p>
    <w:p w14:paraId="209C463B" w14:textId="6341E32E" w:rsidR="004A3EB7" w:rsidRPr="004A3EB7" w:rsidRDefault="004A3EB7" w:rsidP="00666310">
      <w:pPr>
        <w:pStyle w:val="65ReferencesTextstylesTextstyles"/>
        <w:rPr>
          <w:highlight w:val="yellow"/>
        </w:rPr>
      </w:pPr>
      <w:commentRangeStart w:id="61"/>
      <w:r w:rsidRPr="004A3EB7">
        <w:rPr>
          <w:highlight w:val="yellow"/>
        </w:rPr>
        <w:t>71.</w:t>
      </w:r>
      <w:r w:rsidRPr="004A3EB7">
        <w:rPr>
          <w:highlight w:val="yellow"/>
        </w:rPr>
        <w:tab/>
        <w:t xml:space="preserve">Turk DC, Wilson HD, Cahana A. Treatment of chronic non-cancer pain. </w:t>
      </w:r>
      <w:r w:rsidRPr="004A3EB7">
        <w:rPr>
          <w:i/>
          <w:highlight w:val="yellow"/>
        </w:rPr>
        <w:t>Lancet</w:t>
      </w:r>
      <w:r w:rsidRPr="004A3EB7">
        <w:rPr>
          <w:highlight w:val="yellow"/>
        </w:rPr>
        <w:t xml:space="preserve"> 2011;</w:t>
      </w:r>
      <w:r w:rsidRPr="004A3EB7">
        <w:rPr>
          <w:b/>
          <w:highlight w:val="yellow"/>
        </w:rPr>
        <w:t>377</w:t>
      </w:r>
      <w:r w:rsidRPr="004A3EB7">
        <w:rPr>
          <w:highlight w:val="yellow"/>
        </w:rPr>
        <w:t>:</w:t>
      </w:r>
      <w:r w:rsidRPr="004A3EB7">
        <w:rPr>
          <w:color w:val="auto"/>
          <w:highlight w:val="yellow"/>
        </w:rPr>
        <w:t>2226</w:t>
      </w:r>
      <w:r w:rsidRPr="004A3EB7">
        <w:rPr>
          <w:color w:val="00B0F0"/>
          <w:highlight w:val="yellow"/>
        </w:rPr>
        <w:t>–</w:t>
      </w:r>
      <w:r w:rsidRPr="004A3EB7">
        <w:rPr>
          <w:color w:val="auto"/>
          <w:highlight w:val="yellow"/>
        </w:rPr>
        <w:t>35</w:t>
      </w:r>
      <w:r w:rsidRPr="004A3EB7">
        <w:rPr>
          <w:highlight w:val="yellow"/>
        </w:rPr>
        <w:t>. https://doi.org/10.1016/S0140-6736(11)60402-9</w:t>
      </w:r>
      <w:commentRangeEnd w:id="61"/>
      <w:r>
        <w:rPr>
          <w:rStyle w:val="CommentReference"/>
          <w:rFonts w:asciiTheme="minorHAnsi" w:eastAsiaTheme="minorHAnsi" w:hAnsiTheme="minorHAnsi" w:cstheme="minorBidi"/>
          <w:color w:val="auto"/>
        </w:rPr>
        <w:commentReference w:id="61"/>
      </w:r>
    </w:p>
    <w:p w14:paraId="0E3351D4" w14:textId="71B54B6D" w:rsidR="004A3EB7" w:rsidRPr="004A3EB7" w:rsidRDefault="004A3EB7" w:rsidP="00666310">
      <w:pPr>
        <w:pStyle w:val="65ReferencesTextstylesTextstyles"/>
        <w:rPr>
          <w:highlight w:val="yellow"/>
        </w:rPr>
      </w:pPr>
      <w:commentRangeStart w:id="62"/>
      <w:r w:rsidRPr="004A3EB7">
        <w:rPr>
          <w:highlight w:val="yellow"/>
        </w:rPr>
        <w:t>72.</w:t>
      </w:r>
      <w:r w:rsidRPr="004A3EB7">
        <w:rPr>
          <w:highlight w:val="yellow"/>
        </w:rPr>
        <w:tab/>
        <w:t xml:space="preserve">Whale K, Wylde V, Beswick A, Rathbone J, Vedhara K, Gooberman-Hill R. Effectiveness and reporting standards of psychological interventions for improving short-term and long-term pain outcomes after total knee replacement: a systematic review. </w:t>
      </w:r>
      <w:r w:rsidRPr="004A3EB7">
        <w:rPr>
          <w:i/>
          <w:highlight w:val="yellow"/>
        </w:rPr>
        <w:t>BMJ Open</w:t>
      </w:r>
      <w:r w:rsidRPr="004A3EB7">
        <w:rPr>
          <w:highlight w:val="yellow"/>
        </w:rPr>
        <w:t xml:space="preserve"> 2019;</w:t>
      </w:r>
      <w:r w:rsidRPr="004A3EB7">
        <w:rPr>
          <w:b/>
          <w:highlight w:val="yellow"/>
        </w:rPr>
        <w:t>9</w:t>
      </w:r>
      <w:r w:rsidRPr="004A3EB7">
        <w:rPr>
          <w:highlight w:val="yellow"/>
        </w:rPr>
        <w:t>:</w:t>
      </w:r>
      <w:r w:rsidRPr="004A3EB7">
        <w:rPr>
          <w:color w:val="auto"/>
          <w:highlight w:val="yellow"/>
        </w:rPr>
        <w:t>e029742</w:t>
      </w:r>
      <w:r w:rsidRPr="004A3EB7">
        <w:rPr>
          <w:highlight w:val="yellow"/>
        </w:rPr>
        <w:t>. https://doi.org/10.1136/bmjopen-2019-029742</w:t>
      </w:r>
      <w:commentRangeEnd w:id="62"/>
      <w:r>
        <w:rPr>
          <w:rStyle w:val="CommentReference"/>
          <w:rFonts w:asciiTheme="minorHAnsi" w:eastAsiaTheme="minorHAnsi" w:hAnsiTheme="minorHAnsi" w:cstheme="minorBidi"/>
          <w:color w:val="auto"/>
        </w:rPr>
        <w:commentReference w:id="62"/>
      </w:r>
    </w:p>
    <w:p w14:paraId="64AFA23C" w14:textId="531B8E21" w:rsidR="004A3EB7" w:rsidRPr="004A3EB7" w:rsidRDefault="004A3EB7" w:rsidP="00666310">
      <w:pPr>
        <w:pStyle w:val="65ReferencesTextstylesTextstyles"/>
        <w:rPr>
          <w:highlight w:val="yellow"/>
        </w:rPr>
      </w:pPr>
      <w:commentRangeStart w:id="63"/>
      <w:r w:rsidRPr="004A3EB7">
        <w:rPr>
          <w:highlight w:val="yellow"/>
        </w:rPr>
        <w:t>73.</w:t>
      </w:r>
      <w:r w:rsidRPr="004A3EB7">
        <w:rPr>
          <w:highlight w:val="yellow"/>
        </w:rPr>
        <w:tab/>
        <w:t xml:space="preserve">Woolf AD, Zeidler H, Haglund U, Carr AJ, Chaussade S, Cucinotta D, </w:t>
      </w:r>
      <w:r w:rsidRPr="004A3EB7">
        <w:rPr>
          <w:i/>
          <w:highlight w:val="yellow"/>
        </w:rPr>
        <w:t>et al</w:t>
      </w:r>
      <w:r w:rsidRPr="004A3EB7">
        <w:rPr>
          <w:highlight w:val="yellow"/>
        </w:rPr>
        <w:t xml:space="preserve">. Musculoskeletal pain in Europe: its impact and a comparison of population and medical perceptions of treatment in eight European countries. </w:t>
      </w:r>
      <w:r w:rsidRPr="004A3EB7">
        <w:rPr>
          <w:i/>
          <w:highlight w:val="yellow"/>
        </w:rPr>
        <w:t>Ann Rheum Dis</w:t>
      </w:r>
      <w:r w:rsidRPr="004A3EB7">
        <w:rPr>
          <w:highlight w:val="yellow"/>
        </w:rPr>
        <w:t xml:space="preserve"> 2004;</w:t>
      </w:r>
      <w:r w:rsidRPr="004A3EB7">
        <w:rPr>
          <w:b/>
          <w:highlight w:val="yellow"/>
        </w:rPr>
        <w:t>63</w:t>
      </w:r>
      <w:r w:rsidRPr="004A3EB7">
        <w:rPr>
          <w:highlight w:val="yellow"/>
        </w:rPr>
        <w:t>:</w:t>
      </w:r>
      <w:r w:rsidRPr="004A3EB7">
        <w:rPr>
          <w:color w:val="auto"/>
          <w:highlight w:val="yellow"/>
        </w:rPr>
        <w:t>342</w:t>
      </w:r>
      <w:r w:rsidRPr="004A3EB7">
        <w:rPr>
          <w:color w:val="00B0F0"/>
          <w:highlight w:val="yellow"/>
        </w:rPr>
        <w:t>–</w:t>
      </w:r>
      <w:r w:rsidRPr="004A3EB7">
        <w:rPr>
          <w:color w:val="auto"/>
          <w:highlight w:val="yellow"/>
        </w:rPr>
        <w:t>7</w:t>
      </w:r>
      <w:r w:rsidRPr="004A3EB7">
        <w:rPr>
          <w:highlight w:val="yellow"/>
        </w:rPr>
        <w:t>.</w:t>
      </w:r>
      <w:commentRangeEnd w:id="63"/>
      <w:r>
        <w:rPr>
          <w:rStyle w:val="CommentReference"/>
          <w:rFonts w:asciiTheme="minorHAnsi" w:eastAsiaTheme="minorHAnsi" w:hAnsiTheme="minorHAnsi" w:cstheme="minorBidi"/>
          <w:color w:val="auto"/>
        </w:rPr>
        <w:commentReference w:id="63"/>
      </w:r>
    </w:p>
    <w:p w14:paraId="31E51877" w14:textId="632879CD" w:rsidR="004A3EB7" w:rsidRPr="004A3EB7" w:rsidRDefault="004A3EB7" w:rsidP="00666310">
      <w:pPr>
        <w:pStyle w:val="65ReferencesTextstylesTextstyles"/>
        <w:rPr>
          <w:highlight w:val="yellow"/>
        </w:rPr>
      </w:pPr>
      <w:commentRangeStart w:id="64"/>
      <w:r w:rsidRPr="004A3EB7">
        <w:rPr>
          <w:highlight w:val="yellow"/>
        </w:rPr>
        <w:t>74.</w:t>
      </w:r>
      <w:r w:rsidRPr="004A3EB7">
        <w:rPr>
          <w:highlight w:val="yellow"/>
        </w:rPr>
        <w:tab/>
        <w:t xml:space="preserve">Thorstensson CA, Gooberman-Hill R, Adamson J, Williams S, Dieppe P. Help-seeking behaviour among people living with chronic hip or knee pain in the community. </w:t>
      </w:r>
      <w:r w:rsidRPr="004A3EB7">
        <w:rPr>
          <w:i/>
          <w:highlight w:val="yellow"/>
        </w:rPr>
        <w:t>BMC Musculoskelet Disord</w:t>
      </w:r>
      <w:r w:rsidRPr="004A3EB7">
        <w:rPr>
          <w:highlight w:val="yellow"/>
        </w:rPr>
        <w:t xml:space="preserve"> 2009;</w:t>
      </w:r>
      <w:r w:rsidRPr="004A3EB7">
        <w:rPr>
          <w:b/>
          <w:highlight w:val="yellow"/>
        </w:rPr>
        <w:t>10</w:t>
      </w:r>
      <w:r w:rsidRPr="004A3EB7">
        <w:rPr>
          <w:highlight w:val="yellow"/>
        </w:rPr>
        <w:t>:</w:t>
      </w:r>
      <w:r w:rsidRPr="004A3EB7">
        <w:rPr>
          <w:color w:val="auto"/>
          <w:highlight w:val="yellow"/>
        </w:rPr>
        <w:t>153</w:t>
      </w:r>
      <w:r w:rsidRPr="004A3EB7">
        <w:rPr>
          <w:highlight w:val="yellow"/>
        </w:rPr>
        <w:t>. https://doi.org/10.1186/1471-2474-10-153</w:t>
      </w:r>
      <w:commentRangeEnd w:id="64"/>
      <w:r>
        <w:rPr>
          <w:rStyle w:val="CommentReference"/>
          <w:rFonts w:asciiTheme="minorHAnsi" w:eastAsiaTheme="minorHAnsi" w:hAnsiTheme="minorHAnsi" w:cstheme="minorBidi"/>
          <w:color w:val="auto"/>
        </w:rPr>
        <w:commentReference w:id="64"/>
      </w:r>
    </w:p>
    <w:p w14:paraId="5B5048D9" w14:textId="6256D818" w:rsidR="00666310" w:rsidRPr="00666310" w:rsidRDefault="00666310" w:rsidP="00666310">
      <w:pPr>
        <w:pStyle w:val="65ReferencesTextstylesTextstyles"/>
      </w:pPr>
      <w:r w:rsidRPr="00666310">
        <w:t>75.</w:t>
      </w:r>
      <w:r w:rsidR="004A3EB7">
        <w:tab/>
      </w:r>
      <w:r w:rsidR="00411DB7" w:rsidRPr="00666310">
        <w:t>Bedson J, Mottram S, Thomas E, Peat G. Knee pain and osteoarthritis in the general population: what influences patients to consult? Fam Pract. 2007;24(5):443-53.</w:t>
      </w:r>
    </w:p>
    <w:p w14:paraId="66DA39BD" w14:textId="5DA396A0" w:rsidR="00666310" w:rsidRPr="00666310" w:rsidRDefault="00666310" w:rsidP="00666310">
      <w:pPr>
        <w:pStyle w:val="65ReferencesTextstylesTextstyles"/>
      </w:pPr>
      <w:r w:rsidRPr="00666310">
        <w:t>76.</w:t>
      </w:r>
      <w:r w:rsidR="004A3EB7">
        <w:tab/>
      </w:r>
      <w:r w:rsidR="00411DB7" w:rsidRPr="00666310">
        <w:t>National Pain Audit. Final report 2010-12 2012 updated 18 Dec 2012. Available from: https://www.britishpainsociety.org/static/uploads/resources/files/members_articles_npa_2012_1.pdf. Accessed on 7th May 2021</w:t>
      </w:r>
    </w:p>
    <w:p w14:paraId="7EFE1D6B" w14:textId="22D5AA4E" w:rsidR="004A3EB7" w:rsidRPr="004A3EB7" w:rsidRDefault="004A3EB7" w:rsidP="00666310">
      <w:pPr>
        <w:pStyle w:val="65ReferencesTextstylesTextstyles"/>
        <w:rPr>
          <w:highlight w:val="yellow"/>
        </w:rPr>
      </w:pPr>
      <w:commentRangeStart w:id="65"/>
      <w:r w:rsidRPr="004A3EB7">
        <w:rPr>
          <w:highlight w:val="yellow"/>
        </w:rPr>
        <w:t>77.</w:t>
      </w:r>
      <w:r w:rsidRPr="004A3EB7">
        <w:rPr>
          <w:highlight w:val="yellow"/>
        </w:rPr>
        <w:tab/>
        <w:t xml:space="preserve">Stannard C, Johnson M. Chronic pain management – can we do better? An interview-based survey in primary care. </w:t>
      </w:r>
      <w:r w:rsidRPr="004A3EB7">
        <w:rPr>
          <w:i/>
          <w:highlight w:val="yellow"/>
        </w:rPr>
        <w:t>Curr Med Res Opin</w:t>
      </w:r>
      <w:r w:rsidRPr="004A3EB7">
        <w:rPr>
          <w:highlight w:val="yellow"/>
        </w:rPr>
        <w:t xml:space="preserve"> 2003;</w:t>
      </w:r>
      <w:r w:rsidRPr="004A3EB7">
        <w:rPr>
          <w:b/>
          <w:highlight w:val="yellow"/>
        </w:rPr>
        <w:t>19</w:t>
      </w:r>
      <w:r w:rsidRPr="004A3EB7">
        <w:rPr>
          <w:highlight w:val="yellow"/>
        </w:rPr>
        <w:t>:</w:t>
      </w:r>
      <w:r w:rsidRPr="004A3EB7">
        <w:rPr>
          <w:color w:val="auto"/>
          <w:highlight w:val="yellow"/>
        </w:rPr>
        <w:t>703</w:t>
      </w:r>
      <w:r w:rsidRPr="004A3EB7">
        <w:rPr>
          <w:color w:val="00B0F0"/>
          <w:highlight w:val="yellow"/>
        </w:rPr>
        <w:t>–</w:t>
      </w:r>
      <w:r w:rsidRPr="004A3EB7">
        <w:rPr>
          <w:color w:val="auto"/>
          <w:highlight w:val="yellow"/>
        </w:rPr>
        <w:t>6</w:t>
      </w:r>
      <w:r w:rsidRPr="004A3EB7">
        <w:rPr>
          <w:highlight w:val="yellow"/>
        </w:rPr>
        <w:t>. https://doi.org/10.1185/030079903125002478</w:t>
      </w:r>
      <w:commentRangeEnd w:id="65"/>
      <w:r>
        <w:rPr>
          <w:rStyle w:val="CommentReference"/>
          <w:rFonts w:asciiTheme="minorHAnsi" w:eastAsiaTheme="minorHAnsi" w:hAnsiTheme="minorHAnsi" w:cstheme="minorBidi"/>
          <w:color w:val="auto"/>
        </w:rPr>
        <w:commentReference w:id="65"/>
      </w:r>
    </w:p>
    <w:p w14:paraId="1D512EE4" w14:textId="79F33D56" w:rsidR="004A3EB7" w:rsidRPr="004A3EB7" w:rsidRDefault="004A3EB7" w:rsidP="00666310">
      <w:pPr>
        <w:pStyle w:val="65ReferencesTextstylesTextstyles"/>
        <w:rPr>
          <w:highlight w:val="yellow"/>
        </w:rPr>
      </w:pPr>
      <w:commentRangeStart w:id="66"/>
      <w:r w:rsidRPr="004A3EB7">
        <w:rPr>
          <w:highlight w:val="yellow"/>
        </w:rPr>
        <w:lastRenderedPageBreak/>
        <w:t>78.</w:t>
      </w:r>
      <w:r w:rsidRPr="004A3EB7">
        <w:rPr>
          <w:highlight w:val="yellow"/>
        </w:rPr>
        <w:tab/>
        <w:t xml:space="preserve">Abdulla A, Adams N, Bone M, Elliott AM, Gaffin J, Jones D, </w:t>
      </w:r>
      <w:r w:rsidRPr="004A3EB7">
        <w:rPr>
          <w:i/>
          <w:highlight w:val="yellow"/>
        </w:rPr>
        <w:t>et al</w:t>
      </w:r>
      <w:r w:rsidRPr="004A3EB7">
        <w:rPr>
          <w:highlight w:val="yellow"/>
        </w:rPr>
        <w:t xml:space="preserve">. Guidance on the management of pain in older people. </w:t>
      </w:r>
      <w:r w:rsidRPr="004A3EB7">
        <w:rPr>
          <w:i/>
          <w:highlight w:val="yellow"/>
        </w:rPr>
        <w:t>Age Ageing</w:t>
      </w:r>
      <w:r w:rsidRPr="004A3EB7">
        <w:rPr>
          <w:highlight w:val="yellow"/>
        </w:rPr>
        <w:t xml:space="preserve"> 2013;</w:t>
      </w:r>
      <w:r w:rsidRPr="004A3EB7">
        <w:rPr>
          <w:b/>
          <w:highlight w:val="yellow"/>
        </w:rPr>
        <w:t>42</w:t>
      </w:r>
      <w:r w:rsidRPr="004A3EB7">
        <w:rPr>
          <w:highlight w:val="yellow"/>
        </w:rPr>
        <w:t>(Suppl. 1):</w:t>
      </w:r>
      <w:r w:rsidRPr="004A3EB7">
        <w:rPr>
          <w:color w:val="auto"/>
          <w:highlight w:val="yellow"/>
        </w:rPr>
        <w:t>i1</w:t>
      </w:r>
      <w:r w:rsidRPr="004A3EB7">
        <w:rPr>
          <w:color w:val="00B0F0"/>
          <w:highlight w:val="yellow"/>
        </w:rPr>
        <w:t>–</w:t>
      </w:r>
      <w:r w:rsidRPr="004A3EB7">
        <w:rPr>
          <w:color w:val="auto"/>
          <w:highlight w:val="yellow"/>
        </w:rPr>
        <w:t>57</w:t>
      </w:r>
      <w:r w:rsidRPr="004A3EB7">
        <w:rPr>
          <w:highlight w:val="yellow"/>
        </w:rPr>
        <w:t>. https://doi.org/10.1093/ageing/afs200</w:t>
      </w:r>
      <w:commentRangeEnd w:id="66"/>
      <w:r>
        <w:rPr>
          <w:rStyle w:val="CommentReference"/>
          <w:rFonts w:asciiTheme="minorHAnsi" w:eastAsiaTheme="minorHAnsi" w:hAnsiTheme="minorHAnsi" w:cstheme="minorBidi"/>
          <w:color w:val="auto"/>
        </w:rPr>
        <w:commentReference w:id="66"/>
      </w:r>
    </w:p>
    <w:p w14:paraId="1A9E3AF3" w14:textId="038505A1" w:rsidR="004A3EB7" w:rsidRPr="004A3EB7" w:rsidRDefault="004A3EB7" w:rsidP="00666310">
      <w:pPr>
        <w:pStyle w:val="65ReferencesTextstylesTextstyles"/>
        <w:rPr>
          <w:highlight w:val="yellow"/>
        </w:rPr>
      </w:pPr>
      <w:commentRangeStart w:id="67"/>
      <w:r w:rsidRPr="004A3EB7">
        <w:rPr>
          <w:highlight w:val="yellow"/>
        </w:rPr>
        <w:t>79.</w:t>
      </w:r>
      <w:r w:rsidRPr="004A3EB7">
        <w:rPr>
          <w:highlight w:val="yellow"/>
        </w:rPr>
        <w:tab/>
        <w:t xml:space="preserve">Biddle L, Donovan J, Sharp D, Gunnell D. Explaining non-help-seeking amongst young adults with mental distress: a dynamic interpretive model of illness behaviour. </w:t>
      </w:r>
      <w:r w:rsidRPr="004A3EB7">
        <w:rPr>
          <w:i/>
          <w:highlight w:val="yellow"/>
        </w:rPr>
        <w:t>Sociol Health Illn</w:t>
      </w:r>
      <w:r w:rsidRPr="004A3EB7">
        <w:rPr>
          <w:highlight w:val="yellow"/>
        </w:rPr>
        <w:t xml:space="preserve"> 2007;</w:t>
      </w:r>
      <w:r w:rsidRPr="004A3EB7">
        <w:rPr>
          <w:b/>
          <w:highlight w:val="yellow"/>
        </w:rPr>
        <w:t>29</w:t>
      </w:r>
      <w:r w:rsidRPr="004A3EB7">
        <w:rPr>
          <w:highlight w:val="yellow"/>
        </w:rPr>
        <w:t>:</w:t>
      </w:r>
      <w:r w:rsidRPr="004A3EB7">
        <w:rPr>
          <w:color w:val="auto"/>
          <w:highlight w:val="yellow"/>
        </w:rPr>
        <w:t>983</w:t>
      </w:r>
      <w:r w:rsidRPr="004A3EB7">
        <w:rPr>
          <w:color w:val="00B0F0"/>
          <w:highlight w:val="yellow"/>
        </w:rPr>
        <w:t>–</w:t>
      </w:r>
      <w:r w:rsidRPr="004A3EB7">
        <w:rPr>
          <w:color w:val="auto"/>
          <w:highlight w:val="yellow"/>
        </w:rPr>
        <w:t>1002</w:t>
      </w:r>
      <w:r w:rsidRPr="004A3EB7">
        <w:rPr>
          <w:highlight w:val="yellow"/>
        </w:rPr>
        <w:t>.</w:t>
      </w:r>
      <w:commentRangeEnd w:id="67"/>
      <w:r>
        <w:rPr>
          <w:rStyle w:val="CommentReference"/>
          <w:rFonts w:asciiTheme="minorHAnsi" w:eastAsiaTheme="minorHAnsi" w:hAnsiTheme="minorHAnsi" w:cstheme="minorBidi"/>
          <w:color w:val="auto"/>
        </w:rPr>
        <w:commentReference w:id="67"/>
      </w:r>
    </w:p>
    <w:p w14:paraId="56DB127D" w14:textId="2135AEDB" w:rsidR="004A3EB7" w:rsidRPr="004A3EB7" w:rsidRDefault="004A3EB7" w:rsidP="00666310">
      <w:pPr>
        <w:pStyle w:val="65ReferencesTextstylesTextstyles"/>
        <w:rPr>
          <w:highlight w:val="yellow"/>
        </w:rPr>
      </w:pPr>
      <w:commentRangeStart w:id="68"/>
      <w:r w:rsidRPr="004A3EB7">
        <w:rPr>
          <w:highlight w:val="yellow"/>
        </w:rPr>
        <w:t>80.</w:t>
      </w:r>
      <w:r w:rsidRPr="004A3EB7">
        <w:rPr>
          <w:highlight w:val="yellow"/>
        </w:rPr>
        <w:tab/>
        <w:t xml:space="preserve">Dawson J, Fitzpatrick R, Murray D, Carr A. Questionnaire on the perceptions of patients about total knee replacement. </w:t>
      </w:r>
      <w:r w:rsidRPr="004A3EB7">
        <w:rPr>
          <w:i/>
          <w:highlight w:val="yellow"/>
        </w:rPr>
        <w:t>J Bone Joint Surg Br</w:t>
      </w:r>
      <w:r w:rsidRPr="004A3EB7">
        <w:rPr>
          <w:highlight w:val="yellow"/>
        </w:rPr>
        <w:t xml:space="preserve"> 1998;</w:t>
      </w:r>
      <w:r w:rsidRPr="004A3EB7">
        <w:rPr>
          <w:b/>
          <w:highlight w:val="yellow"/>
        </w:rPr>
        <w:t>80</w:t>
      </w:r>
      <w:r w:rsidRPr="004A3EB7">
        <w:rPr>
          <w:highlight w:val="yellow"/>
        </w:rPr>
        <w:t>:</w:t>
      </w:r>
      <w:r w:rsidRPr="004A3EB7">
        <w:rPr>
          <w:color w:val="auto"/>
          <w:highlight w:val="yellow"/>
        </w:rPr>
        <w:t>63</w:t>
      </w:r>
      <w:r w:rsidRPr="004A3EB7">
        <w:rPr>
          <w:color w:val="00B0F0"/>
          <w:highlight w:val="yellow"/>
        </w:rPr>
        <w:t>–</w:t>
      </w:r>
      <w:r w:rsidRPr="004A3EB7">
        <w:rPr>
          <w:color w:val="auto"/>
          <w:highlight w:val="yellow"/>
        </w:rPr>
        <w:t>9</w:t>
      </w:r>
      <w:r w:rsidRPr="004A3EB7">
        <w:rPr>
          <w:highlight w:val="yellow"/>
        </w:rPr>
        <w:t>. https://doi.org/10.1302/0301-620x.80b1.7859</w:t>
      </w:r>
      <w:commentRangeEnd w:id="68"/>
      <w:r>
        <w:rPr>
          <w:rStyle w:val="CommentReference"/>
          <w:rFonts w:asciiTheme="minorHAnsi" w:eastAsiaTheme="minorHAnsi" w:hAnsiTheme="minorHAnsi" w:cstheme="minorBidi"/>
          <w:color w:val="auto"/>
        </w:rPr>
        <w:commentReference w:id="68"/>
      </w:r>
    </w:p>
    <w:p w14:paraId="456F2059" w14:textId="2381D855" w:rsidR="004A3EB7" w:rsidRPr="004A3EB7" w:rsidRDefault="004A3EB7" w:rsidP="00666310">
      <w:pPr>
        <w:pStyle w:val="65ReferencesTextstylesTextstyles"/>
        <w:rPr>
          <w:highlight w:val="yellow"/>
        </w:rPr>
      </w:pPr>
      <w:commentRangeStart w:id="69"/>
      <w:r w:rsidRPr="004A3EB7">
        <w:rPr>
          <w:highlight w:val="yellow"/>
        </w:rPr>
        <w:t>81.</w:t>
      </w:r>
      <w:r w:rsidRPr="004A3EB7">
        <w:rPr>
          <w:highlight w:val="yellow"/>
        </w:rPr>
        <w:tab/>
        <w:t xml:space="preserve">Rapley T, Girling M, Mair FS, Murray E, Treweek S, McColl E, </w:t>
      </w:r>
      <w:r w:rsidRPr="004A3EB7">
        <w:rPr>
          <w:i/>
          <w:highlight w:val="yellow"/>
        </w:rPr>
        <w:t>et al</w:t>
      </w:r>
      <w:r w:rsidRPr="004A3EB7">
        <w:rPr>
          <w:highlight w:val="yellow"/>
        </w:rPr>
        <w:t xml:space="preserve">. Improving the normalization of complex interventions: part 1 - development of the NoMAD instrument for assessing implementation work based on normalization process theory (NPT). </w:t>
      </w:r>
      <w:r w:rsidRPr="004A3EB7">
        <w:rPr>
          <w:i/>
          <w:highlight w:val="yellow"/>
        </w:rPr>
        <w:t>BMC Med Res Methodol</w:t>
      </w:r>
      <w:r w:rsidRPr="004A3EB7">
        <w:rPr>
          <w:highlight w:val="yellow"/>
        </w:rPr>
        <w:t xml:space="preserve"> 2018;</w:t>
      </w:r>
      <w:r w:rsidRPr="004A3EB7">
        <w:rPr>
          <w:b/>
          <w:highlight w:val="yellow"/>
        </w:rPr>
        <w:t>18</w:t>
      </w:r>
      <w:r w:rsidRPr="004A3EB7">
        <w:rPr>
          <w:highlight w:val="yellow"/>
        </w:rPr>
        <w:t>:</w:t>
      </w:r>
      <w:r w:rsidRPr="004A3EB7">
        <w:rPr>
          <w:color w:val="auto"/>
          <w:highlight w:val="yellow"/>
        </w:rPr>
        <w:t>133</w:t>
      </w:r>
      <w:r w:rsidRPr="004A3EB7">
        <w:rPr>
          <w:highlight w:val="yellow"/>
        </w:rPr>
        <w:t>. https://doi.org/10.1186/s12874-018-0590-y</w:t>
      </w:r>
      <w:commentRangeEnd w:id="69"/>
      <w:r>
        <w:rPr>
          <w:rStyle w:val="CommentReference"/>
          <w:rFonts w:asciiTheme="minorHAnsi" w:eastAsiaTheme="minorHAnsi" w:hAnsiTheme="minorHAnsi" w:cstheme="minorBidi"/>
          <w:color w:val="auto"/>
        </w:rPr>
        <w:commentReference w:id="69"/>
      </w:r>
    </w:p>
    <w:p w14:paraId="6B129C44" w14:textId="43577373" w:rsidR="004A3EB7" w:rsidRPr="004A3EB7" w:rsidRDefault="004A3EB7" w:rsidP="00666310">
      <w:pPr>
        <w:pStyle w:val="65ReferencesTextstylesTextstyles"/>
        <w:rPr>
          <w:highlight w:val="yellow"/>
        </w:rPr>
      </w:pPr>
      <w:commentRangeStart w:id="70"/>
      <w:r w:rsidRPr="004A3EB7">
        <w:rPr>
          <w:highlight w:val="yellow"/>
        </w:rPr>
        <w:t>82.</w:t>
      </w:r>
      <w:r w:rsidRPr="004A3EB7">
        <w:rPr>
          <w:highlight w:val="yellow"/>
        </w:rPr>
        <w:tab/>
        <w:t xml:space="preserve">Hickey DG. The potential for coproduction to add value to research. </w:t>
      </w:r>
      <w:r w:rsidRPr="004A3EB7">
        <w:rPr>
          <w:i/>
          <w:highlight w:val="yellow"/>
        </w:rPr>
        <w:t>Health Expect</w:t>
      </w:r>
      <w:r w:rsidRPr="004A3EB7">
        <w:rPr>
          <w:highlight w:val="yellow"/>
        </w:rPr>
        <w:t xml:space="preserve"> 2018;</w:t>
      </w:r>
      <w:r w:rsidRPr="004A3EB7">
        <w:rPr>
          <w:b/>
          <w:highlight w:val="yellow"/>
        </w:rPr>
        <w:t>21</w:t>
      </w:r>
      <w:r w:rsidRPr="004A3EB7">
        <w:rPr>
          <w:highlight w:val="yellow"/>
        </w:rPr>
        <w:t>:</w:t>
      </w:r>
      <w:r w:rsidRPr="004A3EB7">
        <w:rPr>
          <w:color w:val="auto"/>
          <w:highlight w:val="yellow"/>
        </w:rPr>
        <w:t>693</w:t>
      </w:r>
      <w:r>
        <w:rPr>
          <w:color w:val="00B0F0"/>
          <w:highlight w:val="yellow"/>
        </w:rPr>
        <w:t>–</w:t>
      </w:r>
      <w:r w:rsidRPr="004A3EB7">
        <w:rPr>
          <w:color w:val="auto"/>
          <w:highlight w:val="yellow"/>
        </w:rPr>
        <w:t>4</w:t>
      </w:r>
      <w:r w:rsidRPr="004A3EB7">
        <w:rPr>
          <w:highlight w:val="yellow"/>
        </w:rPr>
        <w:t>. https://doi.org/10.1111/hex.12821</w:t>
      </w:r>
      <w:commentRangeEnd w:id="70"/>
      <w:r>
        <w:rPr>
          <w:rStyle w:val="CommentReference"/>
          <w:rFonts w:asciiTheme="minorHAnsi" w:eastAsiaTheme="minorHAnsi" w:hAnsiTheme="minorHAnsi" w:cstheme="minorBidi"/>
          <w:color w:val="auto"/>
        </w:rPr>
        <w:commentReference w:id="70"/>
      </w:r>
    </w:p>
    <w:p w14:paraId="40828A0C" w14:textId="3CC0D475" w:rsidR="004A3EB7" w:rsidRPr="004A3EB7" w:rsidRDefault="004A3EB7" w:rsidP="00666310">
      <w:pPr>
        <w:pStyle w:val="65ReferencesTextstylesTextstyles"/>
        <w:rPr>
          <w:highlight w:val="yellow"/>
        </w:rPr>
      </w:pPr>
      <w:commentRangeStart w:id="71"/>
      <w:r w:rsidRPr="004A3EB7">
        <w:rPr>
          <w:highlight w:val="yellow"/>
        </w:rPr>
        <w:t>83.</w:t>
      </w:r>
      <w:r w:rsidRPr="004A3EB7">
        <w:rPr>
          <w:highlight w:val="yellow"/>
        </w:rPr>
        <w:tab/>
        <w:t xml:space="preserve">Poland F, Charlesworth G, Leung P, Birt L. Embedding patient and public involvement: Managing tacit and explicit expectations. </w:t>
      </w:r>
      <w:r w:rsidRPr="004A3EB7">
        <w:rPr>
          <w:i/>
          <w:highlight w:val="yellow"/>
        </w:rPr>
        <w:t>Health Expect</w:t>
      </w:r>
      <w:r w:rsidRPr="004A3EB7">
        <w:rPr>
          <w:highlight w:val="yellow"/>
        </w:rPr>
        <w:t xml:space="preserve"> 2019;</w:t>
      </w:r>
      <w:r w:rsidRPr="004A3EB7">
        <w:rPr>
          <w:b/>
          <w:highlight w:val="yellow"/>
        </w:rPr>
        <w:t>22</w:t>
      </w:r>
      <w:r w:rsidRPr="004A3EB7">
        <w:rPr>
          <w:highlight w:val="yellow"/>
        </w:rPr>
        <w:t>:</w:t>
      </w:r>
      <w:r w:rsidRPr="004A3EB7">
        <w:rPr>
          <w:color w:val="auto"/>
          <w:highlight w:val="yellow"/>
        </w:rPr>
        <w:t>1231</w:t>
      </w:r>
      <w:r>
        <w:rPr>
          <w:color w:val="00B0F0"/>
          <w:highlight w:val="yellow"/>
        </w:rPr>
        <w:t>–</w:t>
      </w:r>
      <w:r w:rsidRPr="004A3EB7">
        <w:rPr>
          <w:color w:val="auto"/>
          <w:highlight w:val="yellow"/>
        </w:rPr>
        <w:t>9</w:t>
      </w:r>
      <w:r w:rsidRPr="004A3EB7">
        <w:rPr>
          <w:highlight w:val="yellow"/>
        </w:rPr>
        <w:t>. https://doi.org/10.1111/hex.12952</w:t>
      </w:r>
      <w:commentRangeEnd w:id="71"/>
      <w:r>
        <w:rPr>
          <w:rStyle w:val="CommentReference"/>
          <w:rFonts w:asciiTheme="minorHAnsi" w:eastAsiaTheme="minorHAnsi" w:hAnsiTheme="minorHAnsi" w:cstheme="minorBidi"/>
          <w:color w:val="auto"/>
        </w:rPr>
        <w:commentReference w:id="71"/>
      </w:r>
    </w:p>
    <w:p w14:paraId="5FDBE1B6" w14:textId="7FCE6A0E" w:rsidR="004A3EB7" w:rsidRPr="004A3EB7" w:rsidRDefault="004A3EB7" w:rsidP="00666310">
      <w:pPr>
        <w:pStyle w:val="65ReferencesTextstylesTextstyles"/>
        <w:rPr>
          <w:highlight w:val="yellow"/>
        </w:rPr>
      </w:pPr>
      <w:commentRangeStart w:id="72"/>
      <w:r w:rsidRPr="004A3EB7">
        <w:rPr>
          <w:highlight w:val="yellow"/>
        </w:rPr>
        <w:t>84.</w:t>
      </w:r>
      <w:r w:rsidRPr="004A3EB7">
        <w:rPr>
          <w:highlight w:val="yellow"/>
        </w:rPr>
        <w:tab/>
        <w:t xml:space="preserve">Staniszewska S, Brett J, Simera I, Seers K, Mockford C, Goodlad S, </w:t>
      </w:r>
      <w:r w:rsidRPr="004A3EB7">
        <w:rPr>
          <w:i/>
          <w:highlight w:val="yellow"/>
        </w:rPr>
        <w:t>et al</w:t>
      </w:r>
      <w:r w:rsidRPr="004A3EB7">
        <w:rPr>
          <w:highlight w:val="yellow"/>
        </w:rPr>
        <w:t xml:space="preserve">. GRIPP2 reporting checklists: tools to improve reporting of patient and public involvement in research. </w:t>
      </w:r>
      <w:r w:rsidRPr="004A3EB7">
        <w:rPr>
          <w:i/>
          <w:highlight w:val="yellow"/>
        </w:rPr>
        <w:t>BMJ</w:t>
      </w:r>
      <w:r w:rsidRPr="004A3EB7">
        <w:rPr>
          <w:highlight w:val="yellow"/>
        </w:rPr>
        <w:t xml:space="preserve"> 2017;</w:t>
      </w:r>
      <w:r w:rsidRPr="004A3EB7">
        <w:rPr>
          <w:b/>
          <w:highlight w:val="yellow"/>
        </w:rPr>
        <w:t>358</w:t>
      </w:r>
      <w:r w:rsidRPr="004A3EB7">
        <w:rPr>
          <w:highlight w:val="yellow"/>
        </w:rPr>
        <w:t>:</w:t>
      </w:r>
      <w:r w:rsidRPr="004A3EB7">
        <w:rPr>
          <w:color w:val="auto"/>
          <w:highlight w:val="yellow"/>
        </w:rPr>
        <w:t>j3453</w:t>
      </w:r>
      <w:r w:rsidRPr="004A3EB7">
        <w:rPr>
          <w:highlight w:val="yellow"/>
        </w:rPr>
        <w:t>. https://doi.org/10.1136/bmj.j3453</w:t>
      </w:r>
      <w:commentRangeEnd w:id="72"/>
      <w:r>
        <w:rPr>
          <w:rStyle w:val="CommentReference"/>
          <w:rFonts w:asciiTheme="minorHAnsi" w:eastAsiaTheme="minorHAnsi" w:hAnsiTheme="minorHAnsi" w:cstheme="minorBidi"/>
          <w:color w:val="auto"/>
        </w:rPr>
        <w:commentReference w:id="72"/>
      </w:r>
    </w:p>
    <w:p w14:paraId="28E79FE6" w14:textId="2CC79153" w:rsidR="004A3EB7" w:rsidRPr="004A3EB7" w:rsidRDefault="004A3EB7" w:rsidP="00666310">
      <w:pPr>
        <w:pStyle w:val="65ReferencesTextstylesTextstyles"/>
        <w:rPr>
          <w:highlight w:val="yellow"/>
        </w:rPr>
      </w:pPr>
      <w:commentRangeStart w:id="73"/>
      <w:r w:rsidRPr="004A3EB7">
        <w:rPr>
          <w:highlight w:val="yellow"/>
        </w:rPr>
        <w:t>85.</w:t>
      </w:r>
      <w:r w:rsidRPr="004A3EB7">
        <w:rPr>
          <w:highlight w:val="yellow"/>
        </w:rPr>
        <w:tab/>
        <w:t xml:space="preserve">Bertram W, Moore A, Wylde V, Gooberman-Hill R. Optimising recruitment into trials using an internal pilot. </w:t>
      </w:r>
      <w:r w:rsidRPr="004A3EB7">
        <w:rPr>
          <w:i/>
          <w:highlight w:val="yellow"/>
        </w:rPr>
        <w:t>Trials</w:t>
      </w:r>
      <w:r w:rsidRPr="004A3EB7">
        <w:rPr>
          <w:highlight w:val="yellow"/>
        </w:rPr>
        <w:t xml:space="preserve"> 2019;</w:t>
      </w:r>
      <w:r w:rsidRPr="004A3EB7">
        <w:rPr>
          <w:b/>
          <w:highlight w:val="yellow"/>
        </w:rPr>
        <w:t>20</w:t>
      </w:r>
      <w:r w:rsidRPr="004A3EB7">
        <w:rPr>
          <w:highlight w:val="yellow"/>
        </w:rPr>
        <w:t>:</w:t>
      </w:r>
      <w:r w:rsidRPr="004A3EB7">
        <w:rPr>
          <w:color w:val="auto"/>
          <w:highlight w:val="yellow"/>
        </w:rPr>
        <w:t>207</w:t>
      </w:r>
      <w:r w:rsidRPr="004A3EB7">
        <w:rPr>
          <w:highlight w:val="yellow"/>
        </w:rPr>
        <w:t>. https://doi.org/10.1186/s13063-019-3296-5</w:t>
      </w:r>
      <w:commentRangeEnd w:id="73"/>
      <w:r>
        <w:rPr>
          <w:rStyle w:val="CommentReference"/>
          <w:rFonts w:asciiTheme="minorHAnsi" w:eastAsiaTheme="minorHAnsi" w:hAnsiTheme="minorHAnsi" w:cstheme="minorBidi"/>
          <w:color w:val="auto"/>
        </w:rPr>
        <w:commentReference w:id="73"/>
      </w:r>
    </w:p>
    <w:p w14:paraId="05C1FBE4" w14:textId="7F1EE8E7" w:rsidR="004A3EB7" w:rsidRPr="004A3EB7" w:rsidRDefault="004A3EB7" w:rsidP="00666310">
      <w:pPr>
        <w:pStyle w:val="65ReferencesTextstylesTextstyles"/>
        <w:rPr>
          <w:highlight w:val="yellow"/>
        </w:rPr>
      </w:pPr>
      <w:commentRangeStart w:id="74"/>
      <w:r w:rsidRPr="004A3EB7">
        <w:rPr>
          <w:highlight w:val="yellow"/>
        </w:rPr>
        <w:t>86.</w:t>
      </w:r>
      <w:r w:rsidRPr="004A3EB7">
        <w:rPr>
          <w:highlight w:val="yellow"/>
        </w:rPr>
        <w:tab/>
        <w:t xml:space="preserve">Bradshaw E, Whale K, Burston A, Wylde V, Gooberman-Hill R. Value, transparency, and inclusion: A values-based study of patient involvement in musculoskeletal research. </w:t>
      </w:r>
      <w:r w:rsidRPr="004A3EB7">
        <w:rPr>
          <w:i/>
          <w:highlight w:val="yellow"/>
        </w:rPr>
        <w:t>PLOS One</w:t>
      </w:r>
      <w:r w:rsidRPr="004A3EB7">
        <w:rPr>
          <w:highlight w:val="yellow"/>
        </w:rPr>
        <w:t xml:space="preserve"> 2021;</w:t>
      </w:r>
      <w:r w:rsidRPr="004A3EB7">
        <w:rPr>
          <w:b/>
          <w:highlight w:val="yellow"/>
        </w:rPr>
        <w:t>16</w:t>
      </w:r>
      <w:r w:rsidRPr="004A3EB7">
        <w:rPr>
          <w:highlight w:val="yellow"/>
        </w:rPr>
        <w:t>:</w:t>
      </w:r>
      <w:r w:rsidRPr="004A3EB7">
        <w:rPr>
          <w:color w:val="auto"/>
          <w:highlight w:val="yellow"/>
        </w:rPr>
        <w:t>e0260617</w:t>
      </w:r>
      <w:r w:rsidRPr="004A3EB7">
        <w:rPr>
          <w:highlight w:val="yellow"/>
        </w:rPr>
        <w:t>. https://doi.org/10.1371/journal.pone.0260617</w:t>
      </w:r>
      <w:commentRangeEnd w:id="74"/>
      <w:r>
        <w:rPr>
          <w:rStyle w:val="CommentReference"/>
          <w:rFonts w:asciiTheme="minorHAnsi" w:eastAsiaTheme="minorHAnsi" w:hAnsiTheme="minorHAnsi" w:cstheme="minorBidi"/>
          <w:color w:val="auto"/>
        </w:rPr>
        <w:commentReference w:id="74"/>
      </w:r>
    </w:p>
    <w:p w14:paraId="160DCF4C" w14:textId="5FD9D842" w:rsidR="004A3EB7" w:rsidRPr="004A3EB7" w:rsidRDefault="004A3EB7" w:rsidP="00666310">
      <w:pPr>
        <w:pStyle w:val="65ReferencesTextstylesTextstyles"/>
        <w:rPr>
          <w:highlight w:val="yellow"/>
        </w:rPr>
      </w:pPr>
      <w:commentRangeStart w:id="75"/>
      <w:r w:rsidRPr="004A3EB7">
        <w:rPr>
          <w:highlight w:val="yellow"/>
        </w:rPr>
        <w:t>87.</w:t>
      </w:r>
      <w:r w:rsidRPr="004A3EB7">
        <w:rPr>
          <w:highlight w:val="yellow"/>
        </w:rPr>
        <w:tab/>
        <w:t xml:space="preserve">Wylde V, Beswick AD, Dennis J, Gooberman-Hill R. Post-operative patient-related risk factors for chronic pain after total knee replacement: a systematic review. </w:t>
      </w:r>
      <w:r w:rsidRPr="004A3EB7">
        <w:rPr>
          <w:i/>
          <w:highlight w:val="yellow"/>
        </w:rPr>
        <w:t>BMJ Open</w:t>
      </w:r>
      <w:r w:rsidRPr="004A3EB7">
        <w:rPr>
          <w:highlight w:val="yellow"/>
        </w:rPr>
        <w:t xml:space="preserve"> 2017;</w:t>
      </w:r>
      <w:r w:rsidRPr="004A3EB7">
        <w:rPr>
          <w:b/>
          <w:highlight w:val="yellow"/>
        </w:rPr>
        <w:t>7</w:t>
      </w:r>
      <w:r w:rsidRPr="004A3EB7">
        <w:rPr>
          <w:highlight w:val="yellow"/>
        </w:rPr>
        <w:t>:</w:t>
      </w:r>
      <w:r w:rsidRPr="004A3EB7">
        <w:rPr>
          <w:color w:val="auto"/>
          <w:highlight w:val="yellow"/>
        </w:rPr>
        <w:t>e018105</w:t>
      </w:r>
      <w:r w:rsidRPr="004A3EB7">
        <w:rPr>
          <w:highlight w:val="yellow"/>
        </w:rPr>
        <w:t>. https://doi.org/10.1136/bmjopen-2017-018105</w:t>
      </w:r>
      <w:commentRangeEnd w:id="75"/>
      <w:r>
        <w:rPr>
          <w:rStyle w:val="CommentReference"/>
          <w:rFonts w:asciiTheme="minorHAnsi" w:eastAsiaTheme="minorHAnsi" w:hAnsiTheme="minorHAnsi" w:cstheme="minorBidi"/>
          <w:color w:val="auto"/>
        </w:rPr>
        <w:commentReference w:id="75"/>
      </w:r>
    </w:p>
    <w:p w14:paraId="5B6414E6" w14:textId="290129A1" w:rsidR="00666310" w:rsidRPr="00666310" w:rsidRDefault="00666310" w:rsidP="00666310">
      <w:pPr>
        <w:pStyle w:val="65ReferencesTextstylesTextstyles"/>
      </w:pPr>
      <w:r w:rsidRPr="00666310">
        <w:t>88.</w:t>
      </w:r>
      <w:r w:rsidR="004A3EB7">
        <w:tab/>
      </w:r>
      <w:r w:rsidR="00411DB7" w:rsidRPr="00666310">
        <w:t>Beswick A, Dennis J, Gooberman-Hill R, Wylde V. Post-surgical patient-related risk factors for long-term pain after total knee replacement: systematic review. PROSPERO CRD42016041374 2016. Available from: http://www.crd.york.ac.uk/PROSPERO/display_record.asp?ID=CRD42016041374. Accessed on 7th May 2021</w:t>
      </w:r>
    </w:p>
    <w:p w14:paraId="0F0EC8CD" w14:textId="434A3D02" w:rsidR="004A3EB7" w:rsidRPr="004A3EB7" w:rsidRDefault="004A3EB7" w:rsidP="00666310">
      <w:pPr>
        <w:pStyle w:val="65ReferencesTextstylesTextstyles"/>
        <w:rPr>
          <w:highlight w:val="yellow"/>
        </w:rPr>
      </w:pPr>
      <w:commentRangeStart w:id="76"/>
      <w:commentRangeStart w:id="77"/>
      <w:r w:rsidRPr="004A3EB7">
        <w:rPr>
          <w:highlight w:val="yellow"/>
        </w:rPr>
        <w:t>89.</w:t>
      </w:r>
      <w:r w:rsidRPr="004A3EB7">
        <w:rPr>
          <w:highlight w:val="yellow"/>
        </w:rPr>
        <w:tab/>
        <w:t xml:space="preserve">Moher D, Liberati A, Tetzlaff J, Altman DG, PRISMA Group. Preferred reporting items for systematic reviews and meta-analyses: the PRISMA statement. </w:t>
      </w:r>
      <w:r w:rsidRPr="004A3EB7">
        <w:rPr>
          <w:i/>
          <w:highlight w:val="yellow"/>
        </w:rPr>
        <w:t>BMJ</w:t>
      </w:r>
      <w:r w:rsidRPr="004A3EB7">
        <w:rPr>
          <w:highlight w:val="yellow"/>
        </w:rPr>
        <w:t xml:space="preserve"> 2009;</w:t>
      </w:r>
      <w:r w:rsidRPr="004A3EB7">
        <w:rPr>
          <w:b/>
          <w:highlight w:val="yellow"/>
        </w:rPr>
        <w:t>339</w:t>
      </w:r>
      <w:r w:rsidRPr="004A3EB7">
        <w:rPr>
          <w:highlight w:val="yellow"/>
        </w:rPr>
        <w:t>:</w:t>
      </w:r>
      <w:r w:rsidRPr="004A3EB7">
        <w:rPr>
          <w:color w:val="auto"/>
          <w:highlight w:val="yellow"/>
        </w:rPr>
        <w:t>b2535</w:t>
      </w:r>
      <w:r w:rsidRPr="004A3EB7">
        <w:rPr>
          <w:highlight w:val="yellow"/>
        </w:rPr>
        <w:t>. https://doi.org/10.1136/bmj.b2535</w:t>
      </w:r>
      <w:commentRangeEnd w:id="76"/>
      <w:r>
        <w:rPr>
          <w:rStyle w:val="CommentReference"/>
          <w:rFonts w:asciiTheme="minorHAnsi" w:eastAsiaTheme="minorHAnsi" w:hAnsiTheme="minorHAnsi" w:cstheme="minorBidi"/>
          <w:color w:val="auto"/>
        </w:rPr>
        <w:commentReference w:id="76"/>
      </w:r>
      <w:commentRangeEnd w:id="77"/>
      <w:r>
        <w:rPr>
          <w:rStyle w:val="CommentReference"/>
          <w:rFonts w:asciiTheme="minorHAnsi" w:eastAsiaTheme="minorHAnsi" w:hAnsiTheme="minorHAnsi" w:cstheme="minorBidi"/>
          <w:color w:val="auto"/>
        </w:rPr>
        <w:commentReference w:id="77"/>
      </w:r>
    </w:p>
    <w:p w14:paraId="011D5AB5" w14:textId="5BB7C527" w:rsidR="004A3EB7" w:rsidRPr="004A3EB7" w:rsidRDefault="004A3EB7" w:rsidP="00666310">
      <w:pPr>
        <w:pStyle w:val="65ReferencesTextstylesTextstyles"/>
        <w:rPr>
          <w:highlight w:val="yellow"/>
        </w:rPr>
      </w:pPr>
      <w:commentRangeStart w:id="78"/>
      <w:r w:rsidRPr="004A3EB7">
        <w:rPr>
          <w:highlight w:val="yellow"/>
        </w:rPr>
        <w:t>90.</w:t>
      </w:r>
      <w:r w:rsidRPr="004A3EB7">
        <w:rPr>
          <w:highlight w:val="yellow"/>
        </w:rPr>
        <w:tab/>
        <w:t xml:space="preserve">Slim K, Nini E, Forestier D, Kwiatkowski F, Panis Y, Chipponi J. Methodological index for non-randomized studies (minors): development and validation of a new instrument. </w:t>
      </w:r>
      <w:r w:rsidRPr="004A3EB7">
        <w:rPr>
          <w:i/>
          <w:highlight w:val="yellow"/>
        </w:rPr>
        <w:t>ANZ J Surg</w:t>
      </w:r>
      <w:r w:rsidRPr="004A3EB7">
        <w:rPr>
          <w:highlight w:val="yellow"/>
        </w:rPr>
        <w:t xml:space="preserve"> 2003;</w:t>
      </w:r>
      <w:r w:rsidRPr="004A3EB7">
        <w:rPr>
          <w:b/>
          <w:highlight w:val="yellow"/>
        </w:rPr>
        <w:t>73</w:t>
      </w:r>
      <w:r w:rsidRPr="004A3EB7">
        <w:rPr>
          <w:highlight w:val="yellow"/>
        </w:rPr>
        <w:t>:</w:t>
      </w:r>
      <w:r w:rsidRPr="004A3EB7">
        <w:rPr>
          <w:color w:val="auto"/>
          <w:highlight w:val="yellow"/>
        </w:rPr>
        <w:t>712</w:t>
      </w:r>
      <w:r>
        <w:rPr>
          <w:color w:val="00B0F0"/>
          <w:highlight w:val="yellow"/>
        </w:rPr>
        <w:t>–</w:t>
      </w:r>
      <w:r w:rsidRPr="004A3EB7">
        <w:rPr>
          <w:color w:val="auto"/>
          <w:highlight w:val="yellow"/>
        </w:rPr>
        <w:t>16</w:t>
      </w:r>
      <w:r w:rsidRPr="004A3EB7">
        <w:rPr>
          <w:highlight w:val="yellow"/>
        </w:rPr>
        <w:t>.</w:t>
      </w:r>
      <w:commentRangeEnd w:id="78"/>
      <w:r>
        <w:rPr>
          <w:rStyle w:val="CommentReference"/>
          <w:rFonts w:asciiTheme="minorHAnsi" w:eastAsiaTheme="minorHAnsi" w:hAnsiTheme="minorHAnsi" w:cstheme="minorBidi"/>
          <w:color w:val="auto"/>
        </w:rPr>
        <w:commentReference w:id="78"/>
      </w:r>
    </w:p>
    <w:p w14:paraId="41636994" w14:textId="17D85671" w:rsidR="00666310" w:rsidRPr="00666310" w:rsidRDefault="00666310" w:rsidP="00666310">
      <w:pPr>
        <w:pStyle w:val="65ReferencesTextstylesTextstyles"/>
      </w:pPr>
      <w:r w:rsidRPr="00666310">
        <w:t>91.</w:t>
      </w:r>
      <w:r w:rsidR="004A3EB7">
        <w:tab/>
      </w:r>
      <w:r w:rsidR="00411DB7" w:rsidRPr="00666310">
        <w:t>Wells GA, Shea B, O</w:t>
      </w:r>
      <w:r w:rsidR="004A3EB7" w:rsidRPr="004A3EB7">
        <w:t>’</w:t>
      </w:r>
      <w:r w:rsidR="00411DB7" w:rsidRPr="00666310">
        <w:t>Connell D, Peterson J, Welch V, Losos M, et al. The Newcastle-Ottawa Scale (NOS) for assessing the quality of nonrandomised studies in meta-analyses 2011. Available from: http://www.ohri.ca/programs/clinical_epidemiology/oxford.asp Accessed on 7th May 2021</w:t>
      </w:r>
    </w:p>
    <w:p w14:paraId="3584281B" w14:textId="0B2AD07B" w:rsidR="004A3EB7" w:rsidRPr="004A3EB7" w:rsidRDefault="004A3EB7" w:rsidP="00666310">
      <w:pPr>
        <w:pStyle w:val="65ReferencesTextstylesTextstyles"/>
        <w:rPr>
          <w:highlight w:val="yellow"/>
        </w:rPr>
      </w:pPr>
      <w:commentRangeStart w:id="79"/>
      <w:r w:rsidRPr="004A3EB7">
        <w:rPr>
          <w:highlight w:val="yellow"/>
        </w:rPr>
        <w:t>92.</w:t>
      </w:r>
      <w:r w:rsidRPr="004A3EB7">
        <w:rPr>
          <w:highlight w:val="yellow"/>
        </w:rPr>
        <w:tab/>
        <w:t xml:space="preserve">Thomazeau J, Rouquette A, Martinez V, Rabuel C, Prince N, Laplanche JL, </w:t>
      </w:r>
      <w:r w:rsidRPr="004A3EB7">
        <w:rPr>
          <w:i/>
          <w:highlight w:val="yellow"/>
        </w:rPr>
        <w:t>et al</w:t>
      </w:r>
      <w:r w:rsidRPr="004A3EB7">
        <w:rPr>
          <w:highlight w:val="yellow"/>
        </w:rPr>
        <w:t xml:space="preserve">. Predictive Factors of Chronic Post-Surgical Pain at 6 Months Following Knee Replacement: Influence of </w:t>
      </w:r>
      <w:r w:rsidRPr="004A3EB7">
        <w:rPr>
          <w:highlight w:val="yellow"/>
        </w:rPr>
        <w:lastRenderedPageBreak/>
        <w:t xml:space="preserve">Postoperative Pain Trajectory and Genetics. </w:t>
      </w:r>
      <w:r w:rsidRPr="004A3EB7">
        <w:rPr>
          <w:i/>
          <w:highlight w:val="yellow"/>
        </w:rPr>
        <w:t>Pain Physician</w:t>
      </w:r>
      <w:r w:rsidRPr="004A3EB7">
        <w:rPr>
          <w:highlight w:val="yellow"/>
        </w:rPr>
        <w:t xml:space="preserve"> 2016;</w:t>
      </w:r>
      <w:r w:rsidRPr="004A3EB7">
        <w:rPr>
          <w:b/>
          <w:highlight w:val="yellow"/>
        </w:rPr>
        <w:t>19</w:t>
      </w:r>
      <w:r w:rsidRPr="004A3EB7">
        <w:rPr>
          <w:highlight w:val="yellow"/>
        </w:rPr>
        <w:t>:</w:t>
      </w:r>
      <w:r w:rsidRPr="004A3EB7">
        <w:rPr>
          <w:color w:val="auto"/>
          <w:highlight w:val="yellow"/>
        </w:rPr>
        <w:t>E729</w:t>
      </w:r>
      <w:r w:rsidRPr="004A3EB7">
        <w:rPr>
          <w:color w:val="00B0F0"/>
          <w:highlight w:val="yellow"/>
        </w:rPr>
        <w:t>–</w:t>
      </w:r>
      <w:r w:rsidRPr="004A3EB7">
        <w:rPr>
          <w:color w:val="auto"/>
          <w:highlight w:val="yellow"/>
        </w:rPr>
        <w:t>41</w:t>
      </w:r>
      <w:r w:rsidRPr="004A3EB7">
        <w:rPr>
          <w:highlight w:val="yellow"/>
        </w:rPr>
        <w:t>.</w:t>
      </w:r>
      <w:commentRangeEnd w:id="79"/>
      <w:r>
        <w:rPr>
          <w:rStyle w:val="CommentReference"/>
          <w:rFonts w:asciiTheme="minorHAnsi" w:eastAsiaTheme="minorHAnsi" w:hAnsiTheme="minorHAnsi" w:cstheme="minorBidi"/>
          <w:color w:val="auto"/>
        </w:rPr>
        <w:commentReference w:id="79"/>
      </w:r>
    </w:p>
    <w:p w14:paraId="51BBCAF5" w14:textId="7735F699" w:rsidR="00666310" w:rsidRPr="00666310" w:rsidRDefault="00666310" w:rsidP="00666310">
      <w:pPr>
        <w:pStyle w:val="65ReferencesTextstylesTextstyles"/>
      </w:pPr>
      <w:r w:rsidRPr="00666310">
        <w:t>93.</w:t>
      </w:r>
      <w:r w:rsidR="004A3EB7">
        <w:tab/>
      </w:r>
      <w:r w:rsidR="00411DB7" w:rsidRPr="00666310">
        <w:t>Khalid S, Mohammad HR, Gooberman-Hill R, Garriga C, Pinedo-Villanueva R, Arden N, et al. Post-operative determinants of chronic pain after primary knee replacement surgery: Analysis of data on 258,386 patients from the National Joint Registry for England, Wales, Northern Ireland and the Isle of Man (NJR). Osteoarthritis Cartilage Open. 2021;3(1):100139.</w:t>
      </w:r>
    </w:p>
    <w:p w14:paraId="6451D47D" w14:textId="048CA427" w:rsidR="004A3EB7" w:rsidRPr="004A3EB7" w:rsidRDefault="004A3EB7" w:rsidP="00666310">
      <w:pPr>
        <w:pStyle w:val="65ReferencesTextstylesTextstyles"/>
        <w:rPr>
          <w:highlight w:val="yellow"/>
        </w:rPr>
      </w:pPr>
      <w:commentRangeStart w:id="80"/>
      <w:r w:rsidRPr="004A3EB7">
        <w:rPr>
          <w:highlight w:val="yellow"/>
        </w:rPr>
        <w:t>94.</w:t>
      </w:r>
      <w:r w:rsidRPr="004A3EB7">
        <w:rPr>
          <w:highlight w:val="yellow"/>
        </w:rPr>
        <w:tab/>
        <w:t xml:space="preserve">Mohammad HR, Gooberman-Hill R, Delmestri A, Broomfield J, Patel R, Huber J, </w:t>
      </w:r>
      <w:r w:rsidRPr="004A3EB7">
        <w:rPr>
          <w:i/>
          <w:highlight w:val="yellow"/>
        </w:rPr>
        <w:t>et al</w:t>
      </w:r>
      <w:r w:rsidRPr="004A3EB7">
        <w:rPr>
          <w:highlight w:val="yellow"/>
        </w:rPr>
        <w:t xml:space="preserve">. Risk factors associated with poor pain outcomes following primary knee replacement surgery: Analysis of data from the clinical practice research datalink, hospital episode statistics and patient reported outcomes as part of the STAR research programme. </w:t>
      </w:r>
      <w:r w:rsidRPr="004A3EB7">
        <w:rPr>
          <w:i/>
          <w:highlight w:val="yellow"/>
        </w:rPr>
        <w:t>PLOS One</w:t>
      </w:r>
      <w:r w:rsidRPr="004A3EB7">
        <w:rPr>
          <w:highlight w:val="yellow"/>
        </w:rPr>
        <w:t xml:space="preserve"> 2021;</w:t>
      </w:r>
      <w:r w:rsidRPr="004A3EB7">
        <w:rPr>
          <w:b/>
          <w:highlight w:val="yellow"/>
        </w:rPr>
        <w:t>16</w:t>
      </w:r>
      <w:r w:rsidRPr="004A3EB7">
        <w:rPr>
          <w:highlight w:val="yellow"/>
        </w:rPr>
        <w:t>:</w:t>
      </w:r>
      <w:r w:rsidRPr="004A3EB7">
        <w:rPr>
          <w:color w:val="auto"/>
          <w:highlight w:val="yellow"/>
        </w:rPr>
        <w:t>e0261850</w:t>
      </w:r>
      <w:r w:rsidRPr="004A3EB7">
        <w:rPr>
          <w:highlight w:val="yellow"/>
        </w:rPr>
        <w:t>. https://doi.org/10.1371/journal.pone.0261850</w:t>
      </w:r>
      <w:commentRangeEnd w:id="80"/>
      <w:r>
        <w:rPr>
          <w:rStyle w:val="CommentReference"/>
          <w:rFonts w:asciiTheme="minorHAnsi" w:eastAsiaTheme="minorHAnsi" w:hAnsiTheme="minorHAnsi" w:cstheme="minorBidi"/>
          <w:color w:val="auto"/>
        </w:rPr>
        <w:commentReference w:id="80"/>
      </w:r>
    </w:p>
    <w:p w14:paraId="29EACC02" w14:textId="228218C1" w:rsidR="004A3EB7" w:rsidRPr="004A3EB7" w:rsidRDefault="004A3EB7" w:rsidP="00666310">
      <w:pPr>
        <w:pStyle w:val="65ReferencesTextstylesTextstyles"/>
        <w:rPr>
          <w:highlight w:val="yellow"/>
        </w:rPr>
      </w:pPr>
      <w:commentRangeStart w:id="81"/>
      <w:r w:rsidRPr="004A3EB7">
        <w:rPr>
          <w:highlight w:val="yellow"/>
        </w:rPr>
        <w:t>95.</w:t>
      </w:r>
      <w:r w:rsidRPr="004A3EB7">
        <w:rPr>
          <w:highlight w:val="yellow"/>
        </w:rPr>
        <w:tab/>
        <w:t xml:space="preserve">Herrett E, Gallagher AM, Bhaskaran K, Forbes H, Mathur R, van Staa T, Smeeth L. Data Resource Profile: Clinical Practice Research Datalink (CPRD). </w:t>
      </w:r>
      <w:r w:rsidRPr="004A3EB7">
        <w:rPr>
          <w:i/>
          <w:highlight w:val="yellow"/>
        </w:rPr>
        <w:t>Int J Epidemiol</w:t>
      </w:r>
      <w:r w:rsidRPr="004A3EB7">
        <w:rPr>
          <w:highlight w:val="yellow"/>
        </w:rPr>
        <w:t xml:space="preserve"> 2015;</w:t>
      </w:r>
      <w:r w:rsidRPr="004A3EB7">
        <w:rPr>
          <w:b/>
          <w:highlight w:val="yellow"/>
        </w:rPr>
        <w:t>44</w:t>
      </w:r>
      <w:r w:rsidRPr="004A3EB7">
        <w:rPr>
          <w:highlight w:val="yellow"/>
        </w:rPr>
        <w:t>:</w:t>
      </w:r>
      <w:r w:rsidRPr="004A3EB7">
        <w:rPr>
          <w:color w:val="auto"/>
          <w:highlight w:val="yellow"/>
        </w:rPr>
        <w:t>827</w:t>
      </w:r>
      <w:r w:rsidRPr="004A3EB7">
        <w:rPr>
          <w:color w:val="00B0F0"/>
          <w:highlight w:val="yellow"/>
        </w:rPr>
        <w:t>–</w:t>
      </w:r>
      <w:r w:rsidRPr="004A3EB7">
        <w:rPr>
          <w:color w:val="auto"/>
          <w:highlight w:val="yellow"/>
        </w:rPr>
        <w:t>36</w:t>
      </w:r>
      <w:r w:rsidRPr="004A3EB7">
        <w:rPr>
          <w:highlight w:val="yellow"/>
        </w:rPr>
        <w:t>. https://doi.org/10.1093/ije/dyv098</w:t>
      </w:r>
      <w:commentRangeEnd w:id="81"/>
      <w:r>
        <w:rPr>
          <w:rStyle w:val="CommentReference"/>
          <w:rFonts w:asciiTheme="minorHAnsi" w:eastAsiaTheme="minorHAnsi" w:hAnsiTheme="minorHAnsi" w:cstheme="minorBidi"/>
          <w:color w:val="auto"/>
        </w:rPr>
        <w:commentReference w:id="81"/>
      </w:r>
    </w:p>
    <w:p w14:paraId="00EEC76D" w14:textId="38ADD709" w:rsidR="004A3EB7" w:rsidRPr="004A3EB7" w:rsidRDefault="004A3EB7" w:rsidP="00666310">
      <w:pPr>
        <w:pStyle w:val="65ReferencesTextstylesTextstyles"/>
        <w:rPr>
          <w:highlight w:val="yellow"/>
        </w:rPr>
      </w:pPr>
      <w:commentRangeStart w:id="82"/>
      <w:r w:rsidRPr="004A3EB7">
        <w:rPr>
          <w:highlight w:val="yellow"/>
        </w:rPr>
        <w:t>96.</w:t>
      </w:r>
      <w:r w:rsidRPr="004A3EB7">
        <w:rPr>
          <w:highlight w:val="yellow"/>
        </w:rPr>
        <w:tab/>
        <w:t xml:space="preserve">Padmanabhan S, Carty L, Cameron E, Ghosh RE, Williams R, Strongman H. Approach to record linkage of primary care data from Clinical Practice Research Datalink to other health-related patient data: overview and implications. </w:t>
      </w:r>
      <w:r w:rsidRPr="004A3EB7">
        <w:rPr>
          <w:i/>
          <w:highlight w:val="yellow"/>
        </w:rPr>
        <w:t>Eur J Epidemiol</w:t>
      </w:r>
      <w:r w:rsidRPr="004A3EB7">
        <w:rPr>
          <w:highlight w:val="yellow"/>
        </w:rPr>
        <w:t xml:space="preserve"> 2019;</w:t>
      </w:r>
      <w:r w:rsidRPr="004A3EB7">
        <w:rPr>
          <w:b/>
          <w:highlight w:val="yellow"/>
        </w:rPr>
        <w:t>34</w:t>
      </w:r>
      <w:r w:rsidRPr="004A3EB7">
        <w:rPr>
          <w:highlight w:val="yellow"/>
        </w:rPr>
        <w:t>:</w:t>
      </w:r>
      <w:r w:rsidRPr="004A3EB7">
        <w:rPr>
          <w:color w:val="auto"/>
          <w:highlight w:val="yellow"/>
        </w:rPr>
        <w:t>91</w:t>
      </w:r>
      <w:r>
        <w:rPr>
          <w:color w:val="00B0F0"/>
          <w:highlight w:val="yellow"/>
        </w:rPr>
        <w:t>–</w:t>
      </w:r>
      <w:r w:rsidRPr="004A3EB7">
        <w:rPr>
          <w:color w:val="auto"/>
          <w:highlight w:val="yellow"/>
        </w:rPr>
        <w:t>9</w:t>
      </w:r>
      <w:r w:rsidRPr="004A3EB7">
        <w:rPr>
          <w:highlight w:val="yellow"/>
        </w:rPr>
        <w:t>. https://doi.org/10.1007/s10654-018-0442-4</w:t>
      </w:r>
      <w:commentRangeEnd w:id="82"/>
      <w:r>
        <w:rPr>
          <w:rStyle w:val="CommentReference"/>
          <w:rFonts w:asciiTheme="minorHAnsi" w:eastAsiaTheme="minorHAnsi" w:hAnsiTheme="minorHAnsi" w:cstheme="minorBidi"/>
          <w:color w:val="auto"/>
        </w:rPr>
        <w:commentReference w:id="82"/>
      </w:r>
    </w:p>
    <w:p w14:paraId="171C524E" w14:textId="3329287C" w:rsidR="004A3EB7" w:rsidRPr="004A3EB7" w:rsidRDefault="004A3EB7" w:rsidP="00666310">
      <w:pPr>
        <w:pStyle w:val="65ReferencesTextstylesTextstyles"/>
        <w:rPr>
          <w:highlight w:val="yellow"/>
        </w:rPr>
      </w:pPr>
      <w:commentRangeStart w:id="83"/>
      <w:r w:rsidRPr="004A3EB7">
        <w:rPr>
          <w:highlight w:val="yellow"/>
        </w:rPr>
        <w:t>97.</w:t>
      </w:r>
      <w:r w:rsidRPr="004A3EB7">
        <w:rPr>
          <w:highlight w:val="yellow"/>
        </w:rPr>
        <w:tab/>
        <w:t xml:space="preserve">Huber J, Hüsler J, Dieppe P, Günther KP, Dreinhöfer K, Judge A. A new responder criterion (relative effect per patient (REPP) </w:t>
      </w:r>
      <w:r>
        <w:rPr>
          <w:highlight w:val="yellow"/>
        </w:rPr>
        <w:t>&gt;</w:t>
      </w:r>
      <w:r w:rsidRPr="004A3EB7">
        <w:rPr>
          <w:highlight w:val="yellow"/>
        </w:rPr>
        <w:t xml:space="preserve"> 0.2) externally validated in a large total hip replacement multicenter cohort (EUROHIP). </w:t>
      </w:r>
      <w:r w:rsidRPr="004A3EB7">
        <w:rPr>
          <w:i/>
          <w:highlight w:val="yellow"/>
        </w:rPr>
        <w:t>Osteoarthritis Cartilage</w:t>
      </w:r>
      <w:r w:rsidRPr="004A3EB7">
        <w:rPr>
          <w:highlight w:val="yellow"/>
        </w:rPr>
        <w:t xml:space="preserve"> 2016;</w:t>
      </w:r>
      <w:r w:rsidRPr="004A3EB7">
        <w:rPr>
          <w:b/>
          <w:highlight w:val="yellow"/>
        </w:rPr>
        <w:t>24</w:t>
      </w:r>
      <w:r w:rsidRPr="004A3EB7">
        <w:rPr>
          <w:highlight w:val="yellow"/>
        </w:rPr>
        <w:t>:</w:t>
      </w:r>
      <w:r w:rsidRPr="004A3EB7">
        <w:rPr>
          <w:color w:val="auto"/>
          <w:highlight w:val="yellow"/>
        </w:rPr>
        <w:t>480</w:t>
      </w:r>
      <w:r w:rsidRPr="004A3EB7">
        <w:rPr>
          <w:color w:val="00B0F0"/>
          <w:highlight w:val="yellow"/>
        </w:rPr>
        <w:t>–</w:t>
      </w:r>
      <w:r w:rsidRPr="004A3EB7">
        <w:rPr>
          <w:color w:val="auto"/>
          <w:highlight w:val="yellow"/>
        </w:rPr>
        <w:t>3</w:t>
      </w:r>
      <w:r w:rsidRPr="004A3EB7">
        <w:rPr>
          <w:highlight w:val="yellow"/>
        </w:rPr>
        <w:t>. https://doi.org/10.1016/j.joca.2015.10.012</w:t>
      </w:r>
      <w:commentRangeEnd w:id="83"/>
      <w:r>
        <w:rPr>
          <w:rStyle w:val="CommentReference"/>
          <w:rFonts w:asciiTheme="minorHAnsi" w:eastAsiaTheme="minorHAnsi" w:hAnsiTheme="minorHAnsi" w:cstheme="minorBidi"/>
          <w:color w:val="auto"/>
        </w:rPr>
        <w:commentReference w:id="83"/>
      </w:r>
    </w:p>
    <w:p w14:paraId="3808E3B7" w14:textId="4D02EF3E" w:rsidR="004A3EB7" w:rsidRPr="004A3EB7" w:rsidRDefault="004A3EB7" w:rsidP="00666310">
      <w:pPr>
        <w:pStyle w:val="65ReferencesTextstylesTextstyles"/>
        <w:rPr>
          <w:highlight w:val="yellow"/>
        </w:rPr>
      </w:pPr>
      <w:commentRangeStart w:id="84"/>
      <w:r w:rsidRPr="004A3EB7">
        <w:rPr>
          <w:highlight w:val="yellow"/>
        </w:rPr>
        <w:t>98.</w:t>
      </w:r>
      <w:r w:rsidRPr="004A3EB7">
        <w:rPr>
          <w:highlight w:val="yellow"/>
        </w:rPr>
        <w:tab/>
        <w:t xml:space="preserve">Kiran A, Hunter DJ, Judge A, Field RE, Javaid MK, Cooper C, Arden NK, Oxford NDORMS Musculoskeletal Epidemiology Unit Writing Committee. A novel methodological approach for measuring symptomatic change following total joint arthroplasty. </w:t>
      </w:r>
      <w:r w:rsidRPr="004A3EB7">
        <w:rPr>
          <w:i/>
          <w:highlight w:val="yellow"/>
        </w:rPr>
        <w:t>J Arthroplasty</w:t>
      </w:r>
      <w:r w:rsidRPr="004A3EB7">
        <w:rPr>
          <w:highlight w:val="yellow"/>
        </w:rPr>
        <w:t xml:space="preserve"> 2014;</w:t>
      </w:r>
      <w:r w:rsidRPr="004A3EB7">
        <w:rPr>
          <w:b/>
          <w:highlight w:val="yellow"/>
        </w:rPr>
        <w:t>29</w:t>
      </w:r>
      <w:r w:rsidRPr="004A3EB7">
        <w:rPr>
          <w:highlight w:val="yellow"/>
        </w:rPr>
        <w:t>:</w:t>
      </w:r>
      <w:r w:rsidRPr="004A3EB7">
        <w:rPr>
          <w:color w:val="auto"/>
          <w:highlight w:val="yellow"/>
        </w:rPr>
        <w:t>2140</w:t>
      </w:r>
      <w:r w:rsidRPr="004A3EB7">
        <w:rPr>
          <w:color w:val="00B0F0"/>
          <w:highlight w:val="yellow"/>
        </w:rPr>
        <w:t>–</w:t>
      </w:r>
      <w:r w:rsidRPr="004A3EB7">
        <w:rPr>
          <w:color w:val="auto"/>
          <w:highlight w:val="yellow"/>
        </w:rPr>
        <w:t>5</w:t>
      </w:r>
      <w:r w:rsidRPr="004A3EB7">
        <w:rPr>
          <w:highlight w:val="yellow"/>
        </w:rPr>
        <w:t>. https://doi.org/10.1016/j.arth.2014.06.008</w:t>
      </w:r>
      <w:commentRangeEnd w:id="84"/>
      <w:r>
        <w:rPr>
          <w:rStyle w:val="CommentReference"/>
          <w:rFonts w:asciiTheme="minorHAnsi" w:eastAsiaTheme="minorHAnsi" w:hAnsiTheme="minorHAnsi" w:cstheme="minorBidi"/>
          <w:color w:val="auto"/>
        </w:rPr>
        <w:commentReference w:id="84"/>
      </w:r>
    </w:p>
    <w:p w14:paraId="29CBA2F8" w14:textId="04A10155" w:rsidR="004A3EB7" w:rsidRPr="004A3EB7" w:rsidRDefault="004A3EB7" w:rsidP="00666310">
      <w:pPr>
        <w:pStyle w:val="65ReferencesTextstylesTextstyles"/>
        <w:rPr>
          <w:highlight w:val="yellow"/>
        </w:rPr>
      </w:pPr>
      <w:commentRangeStart w:id="85"/>
      <w:r w:rsidRPr="004A3EB7">
        <w:rPr>
          <w:highlight w:val="yellow"/>
        </w:rPr>
        <w:t>99.</w:t>
      </w:r>
      <w:r w:rsidRPr="004A3EB7">
        <w:rPr>
          <w:highlight w:val="yellow"/>
        </w:rPr>
        <w:tab/>
        <w:t xml:space="preserve">Wylde V, Dennis J, Gooberman-Hill R, Beswick AD. Effectiveness of postdischarge interventions for reducing the severity of chronic pain after total knee replacement: systematic review of randomised controlled trials. </w:t>
      </w:r>
      <w:r w:rsidRPr="004A3EB7">
        <w:rPr>
          <w:i/>
          <w:highlight w:val="yellow"/>
        </w:rPr>
        <w:t>BMJ Open</w:t>
      </w:r>
      <w:r w:rsidRPr="004A3EB7">
        <w:rPr>
          <w:highlight w:val="yellow"/>
        </w:rPr>
        <w:t xml:space="preserve"> 2018;</w:t>
      </w:r>
      <w:r w:rsidRPr="004A3EB7">
        <w:rPr>
          <w:b/>
          <w:highlight w:val="yellow"/>
        </w:rPr>
        <w:t>8</w:t>
      </w:r>
      <w:r w:rsidRPr="004A3EB7">
        <w:rPr>
          <w:highlight w:val="yellow"/>
        </w:rPr>
        <w:t>:</w:t>
      </w:r>
      <w:r w:rsidRPr="004A3EB7">
        <w:rPr>
          <w:color w:val="auto"/>
          <w:highlight w:val="yellow"/>
        </w:rPr>
        <w:t>e020368</w:t>
      </w:r>
      <w:r w:rsidRPr="004A3EB7">
        <w:rPr>
          <w:highlight w:val="yellow"/>
        </w:rPr>
        <w:t>. https://doi.org/10.1136/bmjopen-2017-020368</w:t>
      </w:r>
      <w:commentRangeEnd w:id="85"/>
      <w:r>
        <w:rPr>
          <w:rStyle w:val="CommentReference"/>
          <w:rFonts w:asciiTheme="minorHAnsi" w:eastAsiaTheme="minorHAnsi" w:hAnsiTheme="minorHAnsi" w:cstheme="minorBidi"/>
          <w:color w:val="auto"/>
        </w:rPr>
        <w:commentReference w:id="85"/>
      </w:r>
    </w:p>
    <w:p w14:paraId="733218DF" w14:textId="2FBCCB42" w:rsidR="004A3EB7" w:rsidRPr="004A3EB7" w:rsidRDefault="004A3EB7" w:rsidP="00666310">
      <w:pPr>
        <w:pStyle w:val="65ReferencesTextstylesTextstyles"/>
        <w:rPr>
          <w:highlight w:val="yellow"/>
        </w:rPr>
      </w:pPr>
      <w:commentRangeStart w:id="86"/>
      <w:r w:rsidRPr="004A3EB7">
        <w:rPr>
          <w:highlight w:val="yellow"/>
        </w:rPr>
        <w:t>100.</w:t>
      </w:r>
      <w:r w:rsidRPr="004A3EB7">
        <w:rPr>
          <w:highlight w:val="yellow"/>
        </w:rPr>
        <w:tab/>
        <w:t xml:space="preserve">Beswick AD, Dennis J, Gooberman-Hill R, Blom AW, Wylde V. Are perioperative interventions effective in preventing chronic pain after primary total knee replacement? A systematic review. </w:t>
      </w:r>
      <w:r w:rsidRPr="004A3EB7">
        <w:rPr>
          <w:i/>
          <w:highlight w:val="yellow"/>
        </w:rPr>
        <w:t>BMJ Open</w:t>
      </w:r>
      <w:r w:rsidRPr="004A3EB7">
        <w:rPr>
          <w:highlight w:val="yellow"/>
        </w:rPr>
        <w:t xml:space="preserve"> 2019;</w:t>
      </w:r>
      <w:r w:rsidRPr="004A3EB7">
        <w:rPr>
          <w:b/>
          <w:highlight w:val="yellow"/>
        </w:rPr>
        <w:t>9</w:t>
      </w:r>
      <w:r w:rsidRPr="004A3EB7">
        <w:rPr>
          <w:highlight w:val="yellow"/>
        </w:rPr>
        <w:t>:</w:t>
      </w:r>
      <w:r w:rsidRPr="004A3EB7">
        <w:rPr>
          <w:color w:val="auto"/>
          <w:highlight w:val="yellow"/>
        </w:rPr>
        <w:t>e028093</w:t>
      </w:r>
      <w:r w:rsidRPr="004A3EB7">
        <w:rPr>
          <w:highlight w:val="yellow"/>
        </w:rPr>
        <w:t>. https://doi.org/10.1136/bmjopen-2018-028093</w:t>
      </w:r>
      <w:commentRangeEnd w:id="86"/>
      <w:r>
        <w:rPr>
          <w:rStyle w:val="CommentReference"/>
          <w:rFonts w:asciiTheme="minorHAnsi" w:eastAsiaTheme="minorHAnsi" w:hAnsiTheme="minorHAnsi" w:cstheme="minorBidi"/>
          <w:color w:val="auto"/>
        </w:rPr>
        <w:commentReference w:id="86"/>
      </w:r>
    </w:p>
    <w:p w14:paraId="02A82395" w14:textId="78CE7159" w:rsidR="004A3EB7" w:rsidRPr="004A3EB7" w:rsidRDefault="004A3EB7" w:rsidP="00666310">
      <w:pPr>
        <w:pStyle w:val="65ReferencesTextstylesTextstyles"/>
        <w:rPr>
          <w:highlight w:val="yellow"/>
        </w:rPr>
      </w:pPr>
      <w:commentRangeStart w:id="87"/>
      <w:r w:rsidRPr="004A3EB7">
        <w:rPr>
          <w:highlight w:val="yellow"/>
        </w:rPr>
        <w:t>101.</w:t>
      </w:r>
      <w:r w:rsidRPr="004A3EB7">
        <w:rPr>
          <w:highlight w:val="yellow"/>
        </w:rPr>
        <w:tab/>
        <w:t xml:space="preserve">Dennis J, Wylde V, Gooberman-Hill R, Blom AW, Beswick AD. Effects of presurgical interventions on chronic pain after total knee replacement: a systematic review and meta-analysis of randomised controlled trials. </w:t>
      </w:r>
      <w:r w:rsidRPr="004A3EB7">
        <w:rPr>
          <w:i/>
          <w:highlight w:val="yellow"/>
        </w:rPr>
        <w:t>BMJ Open</w:t>
      </w:r>
      <w:r w:rsidRPr="004A3EB7">
        <w:rPr>
          <w:highlight w:val="yellow"/>
        </w:rPr>
        <w:t xml:space="preserve"> 2020;</w:t>
      </w:r>
      <w:r w:rsidRPr="004A3EB7">
        <w:rPr>
          <w:b/>
          <w:highlight w:val="yellow"/>
        </w:rPr>
        <w:t>10</w:t>
      </w:r>
      <w:r w:rsidRPr="004A3EB7">
        <w:rPr>
          <w:highlight w:val="yellow"/>
        </w:rPr>
        <w:t>:</w:t>
      </w:r>
      <w:r w:rsidRPr="004A3EB7">
        <w:rPr>
          <w:color w:val="auto"/>
          <w:highlight w:val="yellow"/>
        </w:rPr>
        <w:t>e033248</w:t>
      </w:r>
      <w:r w:rsidRPr="004A3EB7">
        <w:rPr>
          <w:highlight w:val="yellow"/>
        </w:rPr>
        <w:t>. https://doi.org/10.1136/bmjopen-2019-033248</w:t>
      </w:r>
      <w:commentRangeEnd w:id="87"/>
      <w:r>
        <w:rPr>
          <w:rStyle w:val="CommentReference"/>
          <w:rFonts w:asciiTheme="minorHAnsi" w:eastAsiaTheme="minorHAnsi" w:hAnsiTheme="minorHAnsi" w:cstheme="minorBidi"/>
          <w:color w:val="auto"/>
        </w:rPr>
        <w:commentReference w:id="87"/>
      </w:r>
    </w:p>
    <w:p w14:paraId="4CFFBD07" w14:textId="4431A8E9" w:rsidR="00666310" w:rsidRPr="00666310" w:rsidRDefault="00666310" w:rsidP="00666310">
      <w:pPr>
        <w:pStyle w:val="65ReferencesTextstylesTextstyles"/>
      </w:pPr>
      <w:r w:rsidRPr="00666310">
        <w:t>102.</w:t>
      </w:r>
      <w:r w:rsidR="004A3EB7">
        <w:tab/>
      </w:r>
      <w:r w:rsidR="00411DB7" w:rsidRPr="00666310">
        <w:t>Wylde V, Beswick A, Bruce J, Blom A, Howells N, Gooberman-Hill R. Chronic pain after total knee arthoplasty. EFORT Open Rev. 2018;3:461-70.</w:t>
      </w:r>
    </w:p>
    <w:p w14:paraId="47190355" w14:textId="1E3A86DC" w:rsidR="00666310" w:rsidRPr="00666310" w:rsidRDefault="00666310" w:rsidP="00666310">
      <w:pPr>
        <w:pStyle w:val="65ReferencesTextstylesTextstyles"/>
      </w:pPr>
      <w:r w:rsidRPr="00666310">
        <w:t>103.</w:t>
      </w:r>
      <w:r w:rsidR="004A3EB7">
        <w:tab/>
      </w:r>
      <w:r w:rsidR="00411DB7" w:rsidRPr="00666310">
        <w:t>Yarnell J, O</w:t>
      </w:r>
      <w:r w:rsidR="004A3EB7" w:rsidRPr="004A3EB7">
        <w:t>’</w:t>
      </w:r>
      <w:r w:rsidR="00411DB7" w:rsidRPr="00666310">
        <w:t>Reilly D. Epidemiology and disease prevention. A global approach. Oxford: Oxford University Press; 2013.</w:t>
      </w:r>
    </w:p>
    <w:p w14:paraId="4616A314" w14:textId="2F691389" w:rsidR="00666310" w:rsidRPr="00666310" w:rsidRDefault="00666310" w:rsidP="00666310">
      <w:pPr>
        <w:pStyle w:val="65ReferencesTextstylesTextstyles"/>
      </w:pPr>
      <w:r w:rsidRPr="00666310">
        <w:t>104.</w:t>
      </w:r>
      <w:r w:rsidR="004A3EB7">
        <w:tab/>
      </w:r>
      <w:r w:rsidR="00411DB7" w:rsidRPr="00666310">
        <w:t>Beswick A, Dennis J, Gooberman-Hill R, Wylde V, Blom A. The effectiveness of pre-, peri- and post-operative interventions in preventing chronic pain in patients receiving primary total knee replacement: a systematic review. PROSPERO CRD42017041382 2017. Available from: http://www.crd.york.ac.uk/PROSPERO/display_record.asp?ID=CRD42017041382. Accessed on 7th May 2021</w:t>
      </w:r>
    </w:p>
    <w:p w14:paraId="22E3E77A" w14:textId="61B8F6CB" w:rsidR="00666310" w:rsidRPr="00666310" w:rsidRDefault="00666310" w:rsidP="00666310">
      <w:pPr>
        <w:pStyle w:val="65ReferencesTextstylesTextstyles"/>
      </w:pPr>
      <w:r w:rsidRPr="00666310">
        <w:t>105.</w:t>
      </w:r>
      <w:r w:rsidR="004A3EB7">
        <w:tab/>
      </w:r>
      <w:r w:rsidR="00411DB7" w:rsidRPr="00666310">
        <w:t xml:space="preserve">Higgins JPT, Green S (editors). </w:t>
      </w:r>
      <w:r w:rsidR="004A3EB7" w:rsidRPr="004A3EB7">
        <w:rPr>
          <w:i/>
        </w:rPr>
        <w:t>Cochrane</w:t>
      </w:r>
      <w:r w:rsidR="00411DB7" w:rsidRPr="00666310">
        <w:t xml:space="preserve"> </w:t>
      </w:r>
      <w:r w:rsidR="004A3EB7" w:rsidRPr="004A3EB7">
        <w:rPr>
          <w:i/>
        </w:rPr>
        <w:t>Handbook</w:t>
      </w:r>
      <w:r w:rsidR="00411DB7" w:rsidRPr="00666310">
        <w:t xml:space="preserve"> </w:t>
      </w:r>
      <w:r w:rsidR="004A3EB7" w:rsidRPr="004A3EB7">
        <w:rPr>
          <w:i/>
        </w:rPr>
        <w:t>for</w:t>
      </w:r>
      <w:r w:rsidR="00411DB7" w:rsidRPr="00666310">
        <w:t xml:space="preserve"> </w:t>
      </w:r>
      <w:r w:rsidR="004A3EB7" w:rsidRPr="004A3EB7">
        <w:rPr>
          <w:i/>
        </w:rPr>
        <w:t>Systematic</w:t>
      </w:r>
      <w:r w:rsidR="00411DB7" w:rsidRPr="00666310">
        <w:t xml:space="preserve"> </w:t>
      </w:r>
      <w:r w:rsidR="004A3EB7" w:rsidRPr="004A3EB7">
        <w:rPr>
          <w:i/>
        </w:rPr>
        <w:t>Reviews</w:t>
      </w:r>
      <w:r w:rsidR="00411DB7" w:rsidRPr="00666310">
        <w:t xml:space="preserve"> </w:t>
      </w:r>
      <w:r w:rsidR="004A3EB7" w:rsidRPr="004A3EB7">
        <w:rPr>
          <w:i/>
        </w:rPr>
        <w:t>of</w:t>
      </w:r>
      <w:r w:rsidR="00411DB7" w:rsidRPr="00666310">
        <w:t xml:space="preserve"> </w:t>
      </w:r>
      <w:r w:rsidR="004A3EB7" w:rsidRPr="004A3EB7">
        <w:rPr>
          <w:i/>
        </w:rPr>
        <w:t>Interventions</w:t>
      </w:r>
      <w:r w:rsidR="00411DB7" w:rsidRPr="00666310">
        <w:t xml:space="preserve"> Version 5.0.2 [updated September 2009]. The Cochrane Collaboration, 2009. </w:t>
      </w:r>
      <w:r w:rsidR="00411DB7" w:rsidRPr="00666310">
        <w:lastRenderedPageBreak/>
        <w:t>Available from www.cochrane-handbook.org.</w:t>
      </w:r>
    </w:p>
    <w:p w14:paraId="1ED73CCB" w14:textId="22DF6363" w:rsidR="004A3EB7" w:rsidRPr="004A3EB7" w:rsidRDefault="004A3EB7" w:rsidP="00666310">
      <w:pPr>
        <w:pStyle w:val="65ReferencesTextstylesTextstyles"/>
        <w:rPr>
          <w:highlight w:val="yellow"/>
        </w:rPr>
      </w:pPr>
      <w:commentRangeStart w:id="88"/>
      <w:r w:rsidRPr="004A3EB7">
        <w:rPr>
          <w:highlight w:val="yellow"/>
        </w:rPr>
        <w:t>106.</w:t>
      </w:r>
      <w:r w:rsidRPr="004A3EB7">
        <w:rPr>
          <w:highlight w:val="yellow"/>
        </w:rPr>
        <w:tab/>
        <w:t xml:space="preserve">Kauppila AM, Kyllönen E, Ohtonen P, Hämäläinen M, Mikkonen P, Laine V, </w:t>
      </w:r>
      <w:r w:rsidRPr="004A3EB7">
        <w:rPr>
          <w:i/>
          <w:highlight w:val="yellow"/>
        </w:rPr>
        <w:t>et al</w:t>
      </w:r>
      <w:r w:rsidRPr="004A3EB7">
        <w:rPr>
          <w:highlight w:val="yellow"/>
        </w:rPr>
        <w:t xml:space="preserve">. Multidisciplinary rehabilitation after primary total knee arthroplasty: a randomized controlled study of its effects on functional capacity and quality of life. </w:t>
      </w:r>
      <w:r w:rsidRPr="004A3EB7">
        <w:rPr>
          <w:i/>
          <w:highlight w:val="yellow"/>
        </w:rPr>
        <w:t>Clin Rehabil</w:t>
      </w:r>
      <w:r w:rsidRPr="004A3EB7">
        <w:rPr>
          <w:highlight w:val="yellow"/>
        </w:rPr>
        <w:t xml:space="preserve"> 2010;</w:t>
      </w:r>
      <w:r w:rsidRPr="004A3EB7">
        <w:rPr>
          <w:b/>
          <w:highlight w:val="yellow"/>
        </w:rPr>
        <w:t>24</w:t>
      </w:r>
      <w:r w:rsidRPr="004A3EB7">
        <w:rPr>
          <w:highlight w:val="yellow"/>
        </w:rPr>
        <w:t>:</w:t>
      </w:r>
      <w:r w:rsidRPr="004A3EB7">
        <w:rPr>
          <w:color w:val="auto"/>
          <w:highlight w:val="yellow"/>
        </w:rPr>
        <w:t>398</w:t>
      </w:r>
      <w:r w:rsidRPr="004A3EB7">
        <w:rPr>
          <w:color w:val="00B0F0"/>
          <w:highlight w:val="yellow"/>
        </w:rPr>
        <w:t>–</w:t>
      </w:r>
      <w:r w:rsidRPr="004A3EB7">
        <w:rPr>
          <w:color w:val="auto"/>
          <w:highlight w:val="yellow"/>
        </w:rPr>
        <w:t>411</w:t>
      </w:r>
      <w:r w:rsidRPr="004A3EB7">
        <w:rPr>
          <w:highlight w:val="yellow"/>
        </w:rPr>
        <w:t>. https://doi.org/10.1177/0269215509346089</w:t>
      </w:r>
      <w:commentRangeEnd w:id="88"/>
      <w:r>
        <w:rPr>
          <w:rStyle w:val="CommentReference"/>
          <w:rFonts w:asciiTheme="minorHAnsi" w:eastAsiaTheme="minorHAnsi" w:hAnsiTheme="minorHAnsi" w:cstheme="minorBidi"/>
          <w:color w:val="auto"/>
        </w:rPr>
        <w:commentReference w:id="88"/>
      </w:r>
    </w:p>
    <w:p w14:paraId="3C8744C5" w14:textId="736FC0D2" w:rsidR="004A3EB7" w:rsidRPr="004A3EB7" w:rsidRDefault="004A3EB7" w:rsidP="00666310">
      <w:pPr>
        <w:pStyle w:val="65ReferencesTextstylesTextstyles"/>
        <w:rPr>
          <w:highlight w:val="yellow"/>
        </w:rPr>
      </w:pPr>
      <w:commentRangeStart w:id="89"/>
      <w:r w:rsidRPr="004A3EB7">
        <w:rPr>
          <w:highlight w:val="yellow"/>
        </w:rPr>
        <w:t>107.</w:t>
      </w:r>
      <w:r w:rsidRPr="004A3EB7">
        <w:rPr>
          <w:highlight w:val="yellow"/>
        </w:rPr>
        <w:tab/>
        <w:t xml:space="preserve">Wylde V, Dennis J, Beswick AD, Bruce J, Eccleston C, Howells N, </w:t>
      </w:r>
      <w:r w:rsidRPr="004A3EB7">
        <w:rPr>
          <w:i/>
          <w:highlight w:val="yellow"/>
        </w:rPr>
        <w:t>et al</w:t>
      </w:r>
      <w:r w:rsidRPr="004A3EB7">
        <w:rPr>
          <w:highlight w:val="yellow"/>
        </w:rPr>
        <w:t xml:space="preserve">. Systematic review of management of chronic pain after surgery. </w:t>
      </w:r>
      <w:r w:rsidRPr="004A3EB7">
        <w:rPr>
          <w:i/>
          <w:highlight w:val="yellow"/>
        </w:rPr>
        <w:t>Br J Surg</w:t>
      </w:r>
      <w:r w:rsidRPr="004A3EB7">
        <w:rPr>
          <w:highlight w:val="yellow"/>
        </w:rPr>
        <w:t xml:space="preserve"> 2017;</w:t>
      </w:r>
      <w:r w:rsidRPr="004A3EB7">
        <w:rPr>
          <w:b/>
          <w:highlight w:val="yellow"/>
        </w:rPr>
        <w:t>104</w:t>
      </w:r>
      <w:r w:rsidRPr="004A3EB7">
        <w:rPr>
          <w:highlight w:val="yellow"/>
        </w:rPr>
        <w:t>:</w:t>
      </w:r>
      <w:r w:rsidRPr="004A3EB7">
        <w:rPr>
          <w:color w:val="auto"/>
          <w:highlight w:val="yellow"/>
        </w:rPr>
        <w:t>1293</w:t>
      </w:r>
      <w:r>
        <w:rPr>
          <w:color w:val="00B0F0"/>
          <w:highlight w:val="yellow"/>
        </w:rPr>
        <w:t>–</w:t>
      </w:r>
      <w:r w:rsidRPr="004A3EB7">
        <w:rPr>
          <w:color w:val="auto"/>
          <w:highlight w:val="yellow"/>
        </w:rPr>
        <w:t>306</w:t>
      </w:r>
      <w:r w:rsidRPr="004A3EB7">
        <w:rPr>
          <w:highlight w:val="yellow"/>
        </w:rPr>
        <w:t>. https://doi.org/10.1002/bjs.10601</w:t>
      </w:r>
      <w:commentRangeEnd w:id="89"/>
      <w:r>
        <w:rPr>
          <w:rStyle w:val="CommentReference"/>
          <w:rFonts w:asciiTheme="minorHAnsi" w:eastAsiaTheme="minorHAnsi" w:hAnsiTheme="minorHAnsi" w:cstheme="minorBidi"/>
          <w:color w:val="auto"/>
        </w:rPr>
        <w:commentReference w:id="89"/>
      </w:r>
    </w:p>
    <w:p w14:paraId="089851FD" w14:textId="3B8859C8" w:rsidR="00666310" w:rsidRPr="00666310" w:rsidRDefault="00666310" w:rsidP="00666310">
      <w:pPr>
        <w:pStyle w:val="65ReferencesTextstylesTextstyles"/>
      </w:pPr>
      <w:r w:rsidRPr="00666310">
        <w:t>108.</w:t>
      </w:r>
      <w:r w:rsidR="004A3EB7">
        <w:tab/>
      </w:r>
      <w:r w:rsidR="00411DB7" w:rsidRPr="00666310">
        <w:t>Wylde V, Gooberman-Hill R, Beswick A, Peters T, Bruce J, Eccleston C, et al. Interventions for chronic post-surgical pain after diverse types of surgery. PROSPERO CRD42015015957 2015. Available from: http://www.crd.york.ac.uk/PROSPERO/display_record.asp?ID=CRD42015015957. Accessed on 7th May 2021</w:t>
      </w:r>
    </w:p>
    <w:p w14:paraId="74FC0BBD" w14:textId="3762E488" w:rsidR="004A3EB7" w:rsidRPr="004A3EB7" w:rsidRDefault="004A3EB7" w:rsidP="00666310">
      <w:pPr>
        <w:pStyle w:val="65ReferencesTextstylesTextstyles"/>
        <w:rPr>
          <w:highlight w:val="yellow"/>
        </w:rPr>
      </w:pPr>
      <w:commentRangeStart w:id="90"/>
      <w:r w:rsidRPr="004A3EB7">
        <w:rPr>
          <w:highlight w:val="yellow"/>
        </w:rPr>
        <w:t>109.</w:t>
      </w:r>
      <w:r w:rsidRPr="004A3EB7">
        <w:rPr>
          <w:highlight w:val="yellow"/>
        </w:rPr>
        <w:tab/>
        <w:t xml:space="preserve">Singh JA, Mahowald ML, Noorbaloochi S. Intraarticular botulinum toxin A for refractory painful total knee arthroplasty: a randomized controlled trial. </w:t>
      </w:r>
      <w:r w:rsidRPr="004A3EB7">
        <w:rPr>
          <w:i/>
          <w:highlight w:val="yellow"/>
        </w:rPr>
        <w:t>J Rheumatol</w:t>
      </w:r>
      <w:r w:rsidRPr="004A3EB7">
        <w:rPr>
          <w:highlight w:val="yellow"/>
        </w:rPr>
        <w:t xml:space="preserve"> 2010;</w:t>
      </w:r>
      <w:r w:rsidRPr="004A3EB7">
        <w:rPr>
          <w:b/>
          <w:highlight w:val="yellow"/>
        </w:rPr>
        <w:t>37</w:t>
      </w:r>
      <w:r w:rsidRPr="004A3EB7">
        <w:rPr>
          <w:highlight w:val="yellow"/>
        </w:rPr>
        <w:t>:</w:t>
      </w:r>
      <w:r w:rsidRPr="004A3EB7">
        <w:rPr>
          <w:color w:val="auto"/>
          <w:highlight w:val="yellow"/>
        </w:rPr>
        <w:t>2377</w:t>
      </w:r>
      <w:r w:rsidRPr="004A3EB7">
        <w:rPr>
          <w:color w:val="00B0F0"/>
          <w:highlight w:val="yellow"/>
        </w:rPr>
        <w:t>–</w:t>
      </w:r>
      <w:r w:rsidRPr="004A3EB7">
        <w:rPr>
          <w:color w:val="auto"/>
          <w:highlight w:val="yellow"/>
        </w:rPr>
        <w:t>86</w:t>
      </w:r>
      <w:r w:rsidRPr="004A3EB7">
        <w:rPr>
          <w:highlight w:val="yellow"/>
        </w:rPr>
        <w:t>. https://doi.org/10.3899/jrheum.100336</w:t>
      </w:r>
      <w:commentRangeEnd w:id="90"/>
      <w:r>
        <w:rPr>
          <w:rStyle w:val="CommentReference"/>
          <w:rFonts w:asciiTheme="minorHAnsi" w:eastAsiaTheme="minorHAnsi" w:hAnsiTheme="minorHAnsi" w:cstheme="minorBidi"/>
          <w:color w:val="auto"/>
        </w:rPr>
        <w:commentReference w:id="90"/>
      </w:r>
    </w:p>
    <w:p w14:paraId="721F2BF4" w14:textId="2163DE6B" w:rsidR="00666310" w:rsidRPr="00666310" w:rsidRDefault="00666310" w:rsidP="00666310">
      <w:pPr>
        <w:pStyle w:val="65ReferencesTextstylesTextstyles"/>
      </w:pPr>
      <w:r w:rsidRPr="00666310">
        <w:t>110.</w:t>
      </w:r>
      <w:r w:rsidR="004A3EB7">
        <w:tab/>
      </w:r>
      <w:r w:rsidR="00411DB7" w:rsidRPr="00666310">
        <w:t>Ma SH. Denervation therapy for intractable pain of knee joint after total knee arthroplasty. Chinese J Tissue Eng Res. 2016;20(31):4589-95.</w:t>
      </w:r>
    </w:p>
    <w:p w14:paraId="43757137" w14:textId="1E882200" w:rsidR="004A3EB7" w:rsidRPr="004A3EB7" w:rsidRDefault="004A3EB7" w:rsidP="00666310">
      <w:pPr>
        <w:pStyle w:val="65ReferencesTextstylesTextstyles"/>
        <w:rPr>
          <w:highlight w:val="yellow"/>
        </w:rPr>
      </w:pPr>
      <w:commentRangeStart w:id="91"/>
      <w:r w:rsidRPr="004A3EB7">
        <w:rPr>
          <w:highlight w:val="yellow"/>
        </w:rPr>
        <w:t>111.</w:t>
      </w:r>
      <w:r w:rsidRPr="004A3EB7">
        <w:rPr>
          <w:highlight w:val="yellow"/>
        </w:rPr>
        <w:tab/>
        <w:t xml:space="preserve">Qudsi-Sinclair S, Borrás-Rubio E, Abellan-Guillén JF, Padilla Del Rey ML, Ruiz-Merino G. A Comparison of Genicular Nerve Treatment Using Either Radiofrequency or Analgesic Block with Corticosteroid for Pain after a Total Knee Arthroplasty: A Double-Blind, Randomized Clinical Study. </w:t>
      </w:r>
      <w:r w:rsidRPr="004A3EB7">
        <w:rPr>
          <w:i/>
          <w:highlight w:val="yellow"/>
        </w:rPr>
        <w:t>Pain Pract</w:t>
      </w:r>
      <w:r w:rsidRPr="004A3EB7">
        <w:rPr>
          <w:highlight w:val="yellow"/>
        </w:rPr>
        <w:t xml:space="preserve"> 2017;</w:t>
      </w:r>
      <w:r w:rsidRPr="004A3EB7">
        <w:rPr>
          <w:b/>
          <w:highlight w:val="yellow"/>
        </w:rPr>
        <w:t>17</w:t>
      </w:r>
      <w:r w:rsidRPr="004A3EB7">
        <w:rPr>
          <w:highlight w:val="yellow"/>
        </w:rPr>
        <w:t>:</w:t>
      </w:r>
      <w:r w:rsidRPr="004A3EB7">
        <w:rPr>
          <w:color w:val="auto"/>
          <w:highlight w:val="yellow"/>
        </w:rPr>
        <w:t>578</w:t>
      </w:r>
      <w:r>
        <w:rPr>
          <w:color w:val="00B0F0"/>
          <w:highlight w:val="yellow"/>
        </w:rPr>
        <w:t>–</w:t>
      </w:r>
      <w:r w:rsidRPr="004A3EB7">
        <w:rPr>
          <w:color w:val="auto"/>
          <w:highlight w:val="yellow"/>
        </w:rPr>
        <w:t>88</w:t>
      </w:r>
      <w:r w:rsidRPr="004A3EB7">
        <w:rPr>
          <w:highlight w:val="yellow"/>
        </w:rPr>
        <w:t>. https://doi.org/10.1111/papr.12481</w:t>
      </w:r>
      <w:commentRangeEnd w:id="91"/>
      <w:r>
        <w:rPr>
          <w:rStyle w:val="CommentReference"/>
          <w:rFonts w:asciiTheme="minorHAnsi" w:eastAsiaTheme="minorHAnsi" w:hAnsiTheme="minorHAnsi" w:cstheme="minorBidi"/>
          <w:color w:val="auto"/>
        </w:rPr>
        <w:commentReference w:id="91"/>
      </w:r>
    </w:p>
    <w:p w14:paraId="05CBC483" w14:textId="7A760D3D" w:rsidR="004A3EB7" w:rsidRPr="004A3EB7" w:rsidRDefault="004A3EB7" w:rsidP="00666310">
      <w:pPr>
        <w:pStyle w:val="65ReferencesTextstylesTextstyles"/>
        <w:rPr>
          <w:highlight w:val="yellow"/>
        </w:rPr>
      </w:pPr>
      <w:commentRangeStart w:id="92"/>
      <w:r w:rsidRPr="004A3EB7">
        <w:rPr>
          <w:highlight w:val="yellow"/>
        </w:rPr>
        <w:t>112.</w:t>
      </w:r>
      <w:r w:rsidRPr="004A3EB7">
        <w:rPr>
          <w:highlight w:val="yellow"/>
        </w:rPr>
        <w:tab/>
        <w:t xml:space="preserve">Pickering G, Voute M, Macian N, Ganry H, Pereira B. Effectiveness and safety of 5% lidocaine-medicated plaster on localized neuropathic pain after knee surgery: a randomized, double-blind controlled trial. </w:t>
      </w:r>
      <w:r w:rsidRPr="004A3EB7">
        <w:rPr>
          <w:i/>
          <w:highlight w:val="yellow"/>
        </w:rPr>
        <w:t>Pain</w:t>
      </w:r>
      <w:r w:rsidRPr="004A3EB7">
        <w:rPr>
          <w:highlight w:val="yellow"/>
        </w:rPr>
        <w:t xml:space="preserve"> 2019;</w:t>
      </w:r>
      <w:r w:rsidRPr="004A3EB7">
        <w:rPr>
          <w:b/>
          <w:highlight w:val="yellow"/>
        </w:rPr>
        <w:t>160</w:t>
      </w:r>
      <w:r w:rsidRPr="004A3EB7">
        <w:rPr>
          <w:highlight w:val="yellow"/>
        </w:rPr>
        <w:t>:</w:t>
      </w:r>
      <w:r w:rsidRPr="004A3EB7">
        <w:rPr>
          <w:color w:val="auto"/>
          <w:highlight w:val="yellow"/>
        </w:rPr>
        <w:t>1186</w:t>
      </w:r>
      <w:r>
        <w:rPr>
          <w:color w:val="00B0F0"/>
          <w:highlight w:val="yellow"/>
        </w:rPr>
        <w:t>–</w:t>
      </w:r>
      <w:r w:rsidRPr="004A3EB7">
        <w:rPr>
          <w:color w:val="auto"/>
          <w:highlight w:val="yellow"/>
        </w:rPr>
        <w:t>95</w:t>
      </w:r>
      <w:r w:rsidRPr="004A3EB7">
        <w:rPr>
          <w:highlight w:val="yellow"/>
        </w:rPr>
        <w:t>. https://doi.org/10.1097/j.pain.0000000000001502</w:t>
      </w:r>
      <w:commentRangeEnd w:id="92"/>
      <w:r>
        <w:rPr>
          <w:rStyle w:val="CommentReference"/>
          <w:rFonts w:asciiTheme="minorHAnsi" w:eastAsiaTheme="minorHAnsi" w:hAnsiTheme="minorHAnsi" w:cstheme="minorBidi"/>
          <w:color w:val="auto"/>
        </w:rPr>
        <w:commentReference w:id="92"/>
      </w:r>
    </w:p>
    <w:p w14:paraId="2B9BAC49" w14:textId="19360865" w:rsidR="004A3EB7" w:rsidRPr="004A3EB7" w:rsidRDefault="004A3EB7" w:rsidP="00666310">
      <w:pPr>
        <w:pStyle w:val="65ReferencesTextstylesTextstyles"/>
        <w:rPr>
          <w:highlight w:val="yellow"/>
        </w:rPr>
      </w:pPr>
      <w:commentRangeStart w:id="93"/>
      <w:r w:rsidRPr="004A3EB7">
        <w:rPr>
          <w:highlight w:val="yellow"/>
        </w:rPr>
        <w:t>113.</w:t>
      </w:r>
      <w:r w:rsidRPr="004A3EB7">
        <w:rPr>
          <w:highlight w:val="yellow"/>
        </w:rPr>
        <w:tab/>
        <w:t xml:space="preserve">Larsen JB, Skou ST, Arendt-Nielsen L, Simonsen O, Madeleine P. Neuromuscular exercise and pain neuroscience education compared with pain neuroscience education alone in patients with chronic pain after primary total knee arthroplasty: study protocol for the NEPNEP randomized controlled trial. </w:t>
      </w:r>
      <w:r w:rsidRPr="004A3EB7">
        <w:rPr>
          <w:i/>
          <w:highlight w:val="yellow"/>
        </w:rPr>
        <w:t>Trials</w:t>
      </w:r>
      <w:r w:rsidRPr="004A3EB7">
        <w:rPr>
          <w:highlight w:val="yellow"/>
        </w:rPr>
        <w:t xml:space="preserve"> 2020;</w:t>
      </w:r>
      <w:r w:rsidRPr="004A3EB7">
        <w:rPr>
          <w:b/>
          <w:highlight w:val="yellow"/>
        </w:rPr>
        <w:t>21</w:t>
      </w:r>
      <w:r w:rsidRPr="004A3EB7">
        <w:rPr>
          <w:highlight w:val="yellow"/>
        </w:rPr>
        <w:t>:</w:t>
      </w:r>
      <w:r w:rsidRPr="004A3EB7">
        <w:rPr>
          <w:color w:val="auto"/>
          <w:highlight w:val="yellow"/>
        </w:rPr>
        <w:t>218</w:t>
      </w:r>
      <w:r w:rsidRPr="004A3EB7">
        <w:rPr>
          <w:highlight w:val="yellow"/>
        </w:rPr>
        <w:t>. https://doi.org/10.1186/s13063-020-4126-5</w:t>
      </w:r>
      <w:commentRangeEnd w:id="93"/>
      <w:r>
        <w:rPr>
          <w:rStyle w:val="CommentReference"/>
          <w:rFonts w:asciiTheme="minorHAnsi" w:eastAsiaTheme="minorHAnsi" w:hAnsiTheme="minorHAnsi" w:cstheme="minorBidi"/>
          <w:color w:val="auto"/>
        </w:rPr>
        <w:commentReference w:id="93"/>
      </w:r>
    </w:p>
    <w:p w14:paraId="7FA359DD" w14:textId="4E3D30EF" w:rsidR="00666310" w:rsidRPr="00666310" w:rsidRDefault="00666310" w:rsidP="00666310">
      <w:pPr>
        <w:pStyle w:val="65ReferencesTextstylesTextstyles"/>
      </w:pPr>
      <w:r w:rsidRPr="00666310">
        <w:t>114.</w:t>
      </w:r>
      <w:r w:rsidR="004A3EB7">
        <w:tab/>
      </w:r>
      <w:r w:rsidR="00411DB7" w:rsidRPr="00666310">
        <w:t>Cannabinoids vs. placebo on persistent post-surgical pain following TKA: a pilot RCT 2019. Available from: https://clinicaltrials.gov/show/NCT03825965. Accessed on 7th May 2021</w:t>
      </w:r>
    </w:p>
    <w:p w14:paraId="0B7B0674" w14:textId="1E710A1B" w:rsidR="00666310" w:rsidRPr="00666310" w:rsidRDefault="00666310" w:rsidP="00666310">
      <w:pPr>
        <w:pStyle w:val="65ReferencesTextstylesTextstyles"/>
      </w:pPr>
      <w:r w:rsidRPr="00666310">
        <w:t>115.</w:t>
      </w:r>
      <w:r w:rsidR="004A3EB7">
        <w:tab/>
      </w:r>
      <w:r w:rsidR="00411DB7" w:rsidRPr="00666310">
        <w:t>Phenol neurolysis of genicular nerves for chronic knee pain 2019. Available from: https://clinicaltrials.gov/show/NCT03973177. Accessed on 7th May 2021</w:t>
      </w:r>
    </w:p>
    <w:p w14:paraId="3BF6C46D" w14:textId="40A0DD0D" w:rsidR="00666310" w:rsidRPr="00666310" w:rsidRDefault="00666310" w:rsidP="00666310">
      <w:pPr>
        <w:pStyle w:val="65ReferencesTextstylesTextstyles"/>
      </w:pPr>
      <w:r w:rsidRPr="00666310">
        <w:t>116.</w:t>
      </w:r>
      <w:r w:rsidR="004A3EB7">
        <w:tab/>
      </w:r>
      <w:r w:rsidR="00411DB7" w:rsidRPr="00666310">
        <w:t>Radiofrequency for chronic knee pain post-arthroplasty 2016. Available from: https://clinicaltrials.gov/show/NCT02931435. Accessed on 7th May 2021</w:t>
      </w:r>
    </w:p>
    <w:p w14:paraId="48A4372E" w14:textId="04249F4D" w:rsidR="00666310" w:rsidRPr="00666310" w:rsidRDefault="00666310" w:rsidP="00666310">
      <w:pPr>
        <w:pStyle w:val="65ReferencesTextstylesTextstyles"/>
      </w:pPr>
      <w:r w:rsidRPr="00666310">
        <w:t>117.</w:t>
      </w:r>
      <w:r w:rsidR="004A3EB7">
        <w:tab/>
      </w:r>
      <w:r w:rsidR="00411DB7" w:rsidRPr="00666310">
        <w:t>Efficacy of genicular nerve radiofrequency. https://clinicaltrialsgov/show/NCT04100707. 2019.</w:t>
      </w:r>
    </w:p>
    <w:p w14:paraId="2D0693AA" w14:textId="78320108" w:rsidR="00666310" w:rsidRPr="00666310" w:rsidRDefault="00666310" w:rsidP="00666310">
      <w:pPr>
        <w:pStyle w:val="65ReferencesTextstylesTextstyles"/>
      </w:pPr>
      <w:r w:rsidRPr="00666310">
        <w:t>118.</w:t>
      </w:r>
      <w:r w:rsidR="004A3EB7">
        <w:tab/>
      </w:r>
      <w:r w:rsidR="00411DB7" w:rsidRPr="00666310">
        <w:t>Pilot study of PEMF therapy in treatment of post-operative pain following total knee arthroplasty 2014. Available from: https://clinicaltrials.gov/show/NCT02211534. Accessed on 7th May 2021</w:t>
      </w:r>
    </w:p>
    <w:p w14:paraId="08B680E8" w14:textId="11EE2964" w:rsidR="00666310" w:rsidRPr="00666310" w:rsidRDefault="00666310" w:rsidP="00666310">
      <w:pPr>
        <w:pStyle w:val="65ReferencesTextstylesTextstyles"/>
      </w:pPr>
      <w:r w:rsidRPr="00666310">
        <w:t>119.</w:t>
      </w:r>
      <w:r w:rsidR="004A3EB7">
        <w:tab/>
      </w:r>
      <w:r w:rsidR="00411DB7" w:rsidRPr="00666310">
        <w:t>Cole S, Kolovos S, Soni A, Delmestri A, Sanchez-Santos MT, Judge A, et al. Progression of chronic pain and associated quality of life and healthcare resource use over 5 years after total knee replacement: evidence from an observational cohort. BMJ Open. 2022;12(4):e058044.</w:t>
      </w:r>
    </w:p>
    <w:p w14:paraId="1ACB5FED" w14:textId="0F7A5462" w:rsidR="00666310" w:rsidRPr="00666310" w:rsidRDefault="00666310" w:rsidP="00666310">
      <w:pPr>
        <w:pStyle w:val="65ReferencesTextstylesTextstyles"/>
      </w:pPr>
      <w:r w:rsidRPr="00666310">
        <w:t>120.</w:t>
      </w:r>
      <w:r w:rsidR="004A3EB7">
        <w:tab/>
      </w:r>
      <w:r w:rsidR="00411DB7" w:rsidRPr="00666310">
        <w:t>Arden N, Altman D, Beard D, Carr A, Clarke N, Collins G, et al. Lower limb arthroplasty: can we produce a tool to predict outcome and failure, and is it cost-effective? An epidemiological study. Prog Grant Appl Res. 2017;5(12).</w:t>
      </w:r>
    </w:p>
    <w:p w14:paraId="6AE5AB2B" w14:textId="48ECD34C" w:rsidR="004A3EB7" w:rsidRPr="004A3EB7" w:rsidRDefault="004A3EB7" w:rsidP="00666310">
      <w:pPr>
        <w:pStyle w:val="65ReferencesTextstylesTextstyles"/>
        <w:rPr>
          <w:highlight w:val="yellow"/>
        </w:rPr>
      </w:pPr>
      <w:commentRangeStart w:id="94"/>
      <w:r w:rsidRPr="004A3EB7">
        <w:rPr>
          <w:highlight w:val="yellow"/>
        </w:rPr>
        <w:lastRenderedPageBreak/>
        <w:t>121.</w:t>
      </w:r>
      <w:r w:rsidRPr="004A3EB7">
        <w:rPr>
          <w:highlight w:val="yellow"/>
        </w:rPr>
        <w:tab/>
        <w:t xml:space="preserve">Wylde V, Howells N, Bertram W, Moore AJ, Bruce J, McCabe C, </w:t>
      </w:r>
      <w:r w:rsidRPr="004A3EB7">
        <w:rPr>
          <w:i/>
          <w:highlight w:val="yellow"/>
        </w:rPr>
        <w:t>et al</w:t>
      </w:r>
      <w:r w:rsidRPr="004A3EB7">
        <w:rPr>
          <w:highlight w:val="yellow"/>
        </w:rPr>
        <w:t xml:space="preserve">. Development of a complex intervention for people with chronic pain after knee replacement: the STAR care pathway. </w:t>
      </w:r>
      <w:r w:rsidRPr="004A3EB7">
        <w:rPr>
          <w:i/>
          <w:highlight w:val="yellow"/>
        </w:rPr>
        <w:t>Trials</w:t>
      </w:r>
      <w:r w:rsidRPr="004A3EB7">
        <w:rPr>
          <w:highlight w:val="yellow"/>
        </w:rPr>
        <w:t xml:space="preserve"> 2018;</w:t>
      </w:r>
      <w:r w:rsidRPr="004A3EB7">
        <w:rPr>
          <w:b/>
          <w:highlight w:val="yellow"/>
        </w:rPr>
        <w:t>19</w:t>
      </w:r>
      <w:r w:rsidRPr="004A3EB7">
        <w:rPr>
          <w:highlight w:val="yellow"/>
        </w:rPr>
        <w:t>:</w:t>
      </w:r>
      <w:r w:rsidRPr="004A3EB7">
        <w:rPr>
          <w:color w:val="auto"/>
          <w:highlight w:val="yellow"/>
        </w:rPr>
        <w:t>61</w:t>
      </w:r>
      <w:r w:rsidRPr="004A3EB7">
        <w:rPr>
          <w:highlight w:val="yellow"/>
        </w:rPr>
        <w:t>. https://doi.org/10.1186/s13063-017-2391-8</w:t>
      </w:r>
      <w:commentRangeEnd w:id="94"/>
      <w:r>
        <w:rPr>
          <w:rStyle w:val="CommentReference"/>
          <w:rFonts w:asciiTheme="minorHAnsi" w:eastAsiaTheme="minorHAnsi" w:hAnsiTheme="minorHAnsi" w:cstheme="minorBidi"/>
          <w:color w:val="auto"/>
        </w:rPr>
        <w:commentReference w:id="94"/>
      </w:r>
    </w:p>
    <w:p w14:paraId="7B893A2A" w14:textId="271843B3" w:rsidR="00666310" w:rsidRPr="00666310" w:rsidRDefault="00666310" w:rsidP="00666310">
      <w:pPr>
        <w:pStyle w:val="65ReferencesTextstylesTextstyles"/>
      </w:pPr>
      <w:r w:rsidRPr="00666310">
        <w:t>122.</w:t>
      </w:r>
      <w:r w:rsidR="004A3EB7">
        <w:tab/>
      </w:r>
      <w:r w:rsidR="00411DB7" w:rsidRPr="00666310">
        <w:t>Wylde V, Mackichan, Dixon S, Gooberman-Hill R. Service provision for patients with chronic post-surgical pain after total knee replacement: An evaluation of current practice. J Pain Manag. 2014;7(2):147-54.</w:t>
      </w:r>
    </w:p>
    <w:p w14:paraId="36090473" w14:textId="759C5D2E" w:rsidR="004A3EB7" w:rsidRPr="004A3EB7" w:rsidRDefault="004A3EB7" w:rsidP="00666310">
      <w:pPr>
        <w:pStyle w:val="65ReferencesTextstylesTextstyles"/>
        <w:rPr>
          <w:highlight w:val="yellow"/>
        </w:rPr>
      </w:pPr>
      <w:commentRangeStart w:id="95"/>
      <w:r w:rsidRPr="004A3EB7">
        <w:rPr>
          <w:highlight w:val="yellow"/>
        </w:rPr>
        <w:t>123.</w:t>
      </w:r>
      <w:r w:rsidRPr="004A3EB7">
        <w:rPr>
          <w:highlight w:val="yellow"/>
        </w:rPr>
        <w:tab/>
        <w:t xml:space="preserve">MacKichan F, Wylde V, Gooberman-Hill R. Pathways Through Care for Long-Term Pain After Knee Replacement: A Qualitative Study With Healthcare Professionals. </w:t>
      </w:r>
      <w:r w:rsidRPr="004A3EB7">
        <w:rPr>
          <w:i/>
          <w:highlight w:val="yellow"/>
        </w:rPr>
        <w:t>Musculoskeletal Care</w:t>
      </w:r>
      <w:r w:rsidRPr="004A3EB7">
        <w:rPr>
          <w:highlight w:val="yellow"/>
        </w:rPr>
        <w:t xml:space="preserve"> 2015;</w:t>
      </w:r>
      <w:r w:rsidRPr="004A3EB7">
        <w:rPr>
          <w:b/>
          <w:highlight w:val="yellow"/>
        </w:rPr>
        <w:t>13</w:t>
      </w:r>
      <w:r w:rsidRPr="004A3EB7">
        <w:rPr>
          <w:highlight w:val="yellow"/>
        </w:rPr>
        <w:t>:</w:t>
      </w:r>
      <w:r w:rsidRPr="004A3EB7">
        <w:rPr>
          <w:color w:val="auto"/>
          <w:highlight w:val="yellow"/>
        </w:rPr>
        <w:t>127</w:t>
      </w:r>
      <w:r>
        <w:rPr>
          <w:color w:val="00B0F0"/>
          <w:highlight w:val="yellow"/>
        </w:rPr>
        <w:t>–</w:t>
      </w:r>
      <w:r w:rsidRPr="004A3EB7">
        <w:rPr>
          <w:color w:val="auto"/>
          <w:highlight w:val="yellow"/>
        </w:rPr>
        <w:t>38</w:t>
      </w:r>
      <w:r w:rsidRPr="004A3EB7">
        <w:rPr>
          <w:highlight w:val="yellow"/>
        </w:rPr>
        <w:t>. https://doi.org/10.1002/msc.1093</w:t>
      </w:r>
      <w:commentRangeEnd w:id="95"/>
      <w:r>
        <w:rPr>
          <w:rStyle w:val="CommentReference"/>
          <w:rFonts w:asciiTheme="minorHAnsi" w:eastAsiaTheme="minorHAnsi" w:hAnsiTheme="minorHAnsi" w:cstheme="minorBidi"/>
          <w:color w:val="auto"/>
        </w:rPr>
        <w:commentReference w:id="95"/>
      </w:r>
    </w:p>
    <w:p w14:paraId="0320AD63" w14:textId="12C140CE" w:rsidR="004A3EB7" w:rsidRPr="004A3EB7" w:rsidRDefault="004A3EB7" w:rsidP="00666310">
      <w:pPr>
        <w:pStyle w:val="65ReferencesTextstylesTextstyles"/>
        <w:rPr>
          <w:highlight w:val="yellow"/>
        </w:rPr>
      </w:pPr>
      <w:commentRangeStart w:id="96"/>
      <w:r w:rsidRPr="004A3EB7">
        <w:rPr>
          <w:highlight w:val="yellow"/>
        </w:rPr>
        <w:t>124.</w:t>
      </w:r>
      <w:r w:rsidRPr="004A3EB7">
        <w:rPr>
          <w:highlight w:val="yellow"/>
        </w:rPr>
        <w:tab/>
        <w:t xml:space="preserve">Gooberman-Hill R, Burston A, Clark E, Johnson E, Nolan S, Wells V, Betts L, PEP-R. Involving patients in research: considering good practice. </w:t>
      </w:r>
      <w:r w:rsidRPr="004A3EB7">
        <w:rPr>
          <w:i/>
          <w:highlight w:val="yellow"/>
        </w:rPr>
        <w:t>Musculoskeletal Care</w:t>
      </w:r>
      <w:r w:rsidRPr="004A3EB7">
        <w:rPr>
          <w:highlight w:val="yellow"/>
        </w:rPr>
        <w:t xml:space="preserve"> 2013;</w:t>
      </w:r>
      <w:r w:rsidRPr="004A3EB7">
        <w:rPr>
          <w:b/>
          <w:highlight w:val="yellow"/>
        </w:rPr>
        <w:t>11</w:t>
      </w:r>
      <w:r w:rsidRPr="004A3EB7">
        <w:rPr>
          <w:highlight w:val="yellow"/>
        </w:rPr>
        <w:t>:</w:t>
      </w:r>
      <w:r w:rsidRPr="004A3EB7">
        <w:rPr>
          <w:color w:val="auto"/>
          <w:highlight w:val="yellow"/>
        </w:rPr>
        <w:t>187</w:t>
      </w:r>
      <w:r w:rsidRPr="004A3EB7">
        <w:rPr>
          <w:color w:val="00B0F0"/>
          <w:highlight w:val="yellow"/>
        </w:rPr>
        <w:t>–</w:t>
      </w:r>
      <w:r w:rsidRPr="004A3EB7">
        <w:rPr>
          <w:color w:val="auto"/>
          <w:highlight w:val="yellow"/>
        </w:rPr>
        <w:t>90</w:t>
      </w:r>
      <w:r w:rsidRPr="004A3EB7">
        <w:rPr>
          <w:highlight w:val="yellow"/>
        </w:rPr>
        <w:t>. https://doi.org/10.1002/msc.1060</w:t>
      </w:r>
      <w:commentRangeEnd w:id="96"/>
      <w:r>
        <w:rPr>
          <w:rStyle w:val="CommentReference"/>
          <w:rFonts w:asciiTheme="minorHAnsi" w:eastAsiaTheme="minorHAnsi" w:hAnsiTheme="minorHAnsi" w:cstheme="minorBidi"/>
          <w:color w:val="auto"/>
        </w:rPr>
        <w:commentReference w:id="96"/>
      </w:r>
    </w:p>
    <w:p w14:paraId="7EEF9C67" w14:textId="1ADFE39F" w:rsidR="004A3EB7" w:rsidRPr="004A3EB7" w:rsidRDefault="004A3EB7" w:rsidP="00666310">
      <w:pPr>
        <w:pStyle w:val="65ReferencesTextstylesTextstyles"/>
        <w:rPr>
          <w:highlight w:val="yellow"/>
        </w:rPr>
      </w:pPr>
      <w:commentRangeStart w:id="97"/>
      <w:r w:rsidRPr="004A3EB7">
        <w:rPr>
          <w:highlight w:val="yellow"/>
        </w:rPr>
        <w:t>125.</w:t>
      </w:r>
      <w:r w:rsidRPr="004A3EB7">
        <w:rPr>
          <w:highlight w:val="yellow"/>
        </w:rPr>
        <w:tab/>
        <w:t xml:space="preserve">Craig P, Dieppe P, Macintyre S, Michie S, Nazareth I, Petticrew M, Medical Research Council Guidance. Developing and evaluating complex interventions: the new Medical Research Council guidance. </w:t>
      </w:r>
      <w:r w:rsidRPr="004A3EB7">
        <w:rPr>
          <w:i/>
          <w:highlight w:val="yellow"/>
        </w:rPr>
        <w:t>BMJ</w:t>
      </w:r>
      <w:r w:rsidRPr="004A3EB7">
        <w:rPr>
          <w:highlight w:val="yellow"/>
        </w:rPr>
        <w:t xml:space="preserve"> 2008;</w:t>
      </w:r>
      <w:r w:rsidRPr="004A3EB7">
        <w:rPr>
          <w:b/>
          <w:highlight w:val="yellow"/>
        </w:rPr>
        <w:t>337</w:t>
      </w:r>
      <w:r w:rsidRPr="004A3EB7">
        <w:rPr>
          <w:highlight w:val="yellow"/>
        </w:rPr>
        <w:t>:</w:t>
      </w:r>
      <w:r w:rsidRPr="004A3EB7">
        <w:rPr>
          <w:color w:val="auto"/>
          <w:highlight w:val="yellow"/>
        </w:rPr>
        <w:t>a1655</w:t>
      </w:r>
      <w:r w:rsidRPr="004A3EB7">
        <w:rPr>
          <w:highlight w:val="yellow"/>
        </w:rPr>
        <w:t>. https://doi.org/10.1136/bmj.a1655</w:t>
      </w:r>
      <w:commentRangeEnd w:id="97"/>
      <w:r>
        <w:rPr>
          <w:rStyle w:val="CommentReference"/>
          <w:rFonts w:asciiTheme="minorHAnsi" w:eastAsiaTheme="minorHAnsi" w:hAnsiTheme="minorHAnsi" w:cstheme="minorBidi"/>
          <w:color w:val="auto"/>
        </w:rPr>
        <w:commentReference w:id="97"/>
      </w:r>
    </w:p>
    <w:p w14:paraId="5D8E6A3F" w14:textId="1A2C1ADD" w:rsidR="004A3EB7" w:rsidRPr="004A3EB7" w:rsidRDefault="004A3EB7" w:rsidP="00666310">
      <w:pPr>
        <w:pStyle w:val="65ReferencesTextstylesTextstyles"/>
        <w:rPr>
          <w:highlight w:val="yellow"/>
        </w:rPr>
      </w:pPr>
      <w:commentRangeStart w:id="98"/>
      <w:r w:rsidRPr="004A3EB7">
        <w:rPr>
          <w:highlight w:val="yellow"/>
        </w:rPr>
        <w:t>126.</w:t>
      </w:r>
      <w:r w:rsidRPr="004A3EB7">
        <w:rPr>
          <w:highlight w:val="yellow"/>
        </w:rPr>
        <w:tab/>
        <w:t xml:space="preserve">Wylde V, Bertram W, Beswick AD, Blom AW, Bruce J, Burston A, </w:t>
      </w:r>
      <w:r w:rsidRPr="004A3EB7">
        <w:rPr>
          <w:i/>
          <w:highlight w:val="yellow"/>
        </w:rPr>
        <w:t>et al</w:t>
      </w:r>
      <w:r w:rsidRPr="004A3EB7">
        <w:rPr>
          <w:highlight w:val="yellow"/>
        </w:rPr>
        <w:t xml:space="preserve">. Clinical- and cost-effectiveness of the STAR care pathway compared to usual care for patients with chronic pain after total knee replacement: study protocol for a UK randomised controlled trial. </w:t>
      </w:r>
      <w:r w:rsidRPr="004A3EB7">
        <w:rPr>
          <w:i/>
          <w:highlight w:val="yellow"/>
        </w:rPr>
        <w:t>Trials</w:t>
      </w:r>
      <w:r w:rsidRPr="004A3EB7">
        <w:rPr>
          <w:highlight w:val="yellow"/>
        </w:rPr>
        <w:t xml:space="preserve"> 2018;</w:t>
      </w:r>
      <w:r w:rsidRPr="004A3EB7">
        <w:rPr>
          <w:b/>
          <w:highlight w:val="yellow"/>
        </w:rPr>
        <w:t>19</w:t>
      </w:r>
      <w:r w:rsidRPr="004A3EB7">
        <w:rPr>
          <w:highlight w:val="yellow"/>
        </w:rPr>
        <w:t>:</w:t>
      </w:r>
      <w:r w:rsidRPr="004A3EB7">
        <w:rPr>
          <w:color w:val="auto"/>
          <w:highlight w:val="yellow"/>
        </w:rPr>
        <w:t>132</w:t>
      </w:r>
      <w:r w:rsidRPr="004A3EB7">
        <w:rPr>
          <w:highlight w:val="yellow"/>
        </w:rPr>
        <w:t>. https://doi.org/10.1186/s13063-018-2516-8</w:t>
      </w:r>
      <w:commentRangeEnd w:id="98"/>
      <w:r>
        <w:rPr>
          <w:rStyle w:val="CommentReference"/>
          <w:rFonts w:asciiTheme="minorHAnsi" w:eastAsiaTheme="minorHAnsi" w:hAnsiTheme="minorHAnsi" w:cstheme="minorBidi"/>
          <w:color w:val="auto"/>
        </w:rPr>
        <w:commentReference w:id="98"/>
      </w:r>
    </w:p>
    <w:p w14:paraId="549B3981" w14:textId="57B44BB8" w:rsidR="004A3EB7" w:rsidRPr="004A3EB7" w:rsidRDefault="004A3EB7" w:rsidP="00666310">
      <w:pPr>
        <w:pStyle w:val="65ReferencesTextstylesTextstyles"/>
        <w:rPr>
          <w:highlight w:val="yellow"/>
        </w:rPr>
      </w:pPr>
      <w:commentRangeStart w:id="99"/>
      <w:r w:rsidRPr="004A3EB7">
        <w:rPr>
          <w:highlight w:val="yellow"/>
        </w:rPr>
        <w:t>127.</w:t>
      </w:r>
      <w:r w:rsidRPr="004A3EB7">
        <w:rPr>
          <w:highlight w:val="yellow"/>
        </w:rPr>
        <w:tab/>
        <w:t xml:space="preserve">Wylde V, Sanderson E, Peters TJ, Bertram W, Howells N, Bruce J, </w:t>
      </w:r>
      <w:r w:rsidRPr="004A3EB7">
        <w:rPr>
          <w:i/>
          <w:highlight w:val="yellow"/>
        </w:rPr>
        <w:t>et al</w:t>
      </w:r>
      <w:r w:rsidRPr="004A3EB7">
        <w:rPr>
          <w:highlight w:val="yellow"/>
        </w:rPr>
        <w:t xml:space="preserve">. Screening to Identify Postoperative Pain and Cross-Sectional Associations Between Factors Identified in This Process With Pain and Function, Three Months After Total Knee Replacement. </w:t>
      </w:r>
      <w:r w:rsidRPr="004A3EB7">
        <w:rPr>
          <w:i/>
          <w:highlight w:val="yellow"/>
        </w:rPr>
        <w:t>Arthritis Care Res</w:t>
      </w:r>
      <w:r w:rsidRPr="004A3EB7">
        <w:rPr>
          <w:highlight w:val="yellow"/>
        </w:rPr>
        <w:t xml:space="preserve"> 2022;</w:t>
      </w:r>
      <w:r w:rsidRPr="004A3EB7">
        <w:rPr>
          <w:b/>
          <w:highlight w:val="yellow"/>
        </w:rPr>
        <w:t>74</w:t>
      </w:r>
      <w:r w:rsidRPr="004A3EB7">
        <w:rPr>
          <w:highlight w:val="yellow"/>
        </w:rPr>
        <w:t>:</w:t>
      </w:r>
      <w:r w:rsidRPr="004A3EB7">
        <w:rPr>
          <w:color w:val="auto"/>
          <w:highlight w:val="yellow"/>
        </w:rPr>
        <w:t>790</w:t>
      </w:r>
      <w:r>
        <w:rPr>
          <w:color w:val="00B0F0"/>
          <w:highlight w:val="yellow"/>
        </w:rPr>
        <w:t>–</w:t>
      </w:r>
      <w:r w:rsidRPr="004A3EB7">
        <w:rPr>
          <w:color w:val="auto"/>
          <w:highlight w:val="yellow"/>
        </w:rPr>
        <w:t>8</w:t>
      </w:r>
      <w:r w:rsidRPr="004A3EB7">
        <w:rPr>
          <w:highlight w:val="yellow"/>
        </w:rPr>
        <w:t>. https://doi.org/10.1002/acr.24516</w:t>
      </w:r>
      <w:commentRangeEnd w:id="99"/>
      <w:r>
        <w:rPr>
          <w:rStyle w:val="CommentReference"/>
          <w:rFonts w:asciiTheme="minorHAnsi" w:eastAsiaTheme="minorHAnsi" w:hAnsiTheme="minorHAnsi" w:cstheme="minorBidi"/>
          <w:color w:val="auto"/>
        </w:rPr>
        <w:commentReference w:id="99"/>
      </w:r>
    </w:p>
    <w:p w14:paraId="1E0DACDF" w14:textId="4AA73600" w:rsidR="004A3EB7" w:rsidRPr="004A3EB7" w:rsidRDefault="004A3EB7" w:rsidP="00666310">
      <w:pPr>
        <w:pStyle w:val="65ReferencesTextstylesTextstyles"/>
        <w:rPr>
          <w:highlight w:val="yellow"/>
        </w:rPr>
      </w:pPr>
      <w:commentRangeStart w:id="100"/>
      <w:r w:rsidRPr="004A3EB7">
        <w:rPr>
          <w:highlight w:val="yellow"/>
        </w:rPr>
        <w:t>128.</w:t>
      </w:r>
      <w:r w:rsidRPr="004A3EB7">
        <w:rPr>
          <w:highlight w:val="yellow"/>
        </w:rPr>
        <w:tab/>
        <w:t xml:space="preserve">Wylde V, Bertram W, Sanderson E, Noble S, Howells N, Peters TJ, </w:t>
      </w:r>
      <w:r w:rsidRPr="004A3EB7">
        <w:rPr>
          <w:i/>
          <w:highlight w:val="yellow"/>
        </w:rPr>
        <w:t>et al</w:t>
      </w:r>
      <w:r w:rsidRPr="004A3EB7">
        <w:rPr>
          <w:highlight w:val="yellow"/>
        </w:rPr>
        <w:t xml:space="preserve">. The STAR care pathway for patients with pain at 3 months after total knee replacement: a multicentre, pragmatic, randomised, controlled trial. </w:t>
      </w:r>
      <w:r w:rsidRPr="004A3EB7">
        <w:rPr>
          <w:i/>
          <w:highlight w:val="yellow"/>
        </w:rPr>
        <w:t>Lancet Rheumatol</w:t>
      </w:r>
      <w:r w:rsidRPr="004A3EB7">
        <w:rPr>
          <w:highlight w:val="yellow"/>
        </w:rPr>
        <w:t xml:space="preserve"> 2022;</w:t>
      </w:r>
      <w:r w:rsidRPr="004A3EB7">
        <w:rPr>
          <w:b/>
          <w:highlight w:val="yellow"/>
        </w:rPr>
        <w:t>4</w:t>
      </w:r>
      <w:r w:rsidRPr="004A3EB7">
        <w:rPr>
          <w:highlight w:val="yellow"/>
        </w:rPr>
        <w:t>:</w:t>
      </w:r>
      <w:r w:rsidRPr="004A3EB7">
        <w:rPr>
          <w:color w:val="auto"/>
          <w:highlight w:val="yellow"/>
        </w:rPr>
        <w:t>e188</w:t>
      </w:r>
      <w:r w:rsidRPr="004A3EB7">
        <w:rPr>
          <w:color w:val="00B0F0"/>
          <w:highlight w:val="yellow"/>
        </w:rPr>
        <w:t>–</w:t>
      </w:r>
      <w:r w:rsidRPr="004A3EB7">
        <w:rPr>
          <w:color w:val="auto"/>
          <w:highlight w:val="yellow"/>
        </w:rPr>
        <w:t>e197</w:t>
      </w:r>
      <w:r w:rsidRPr="004A3EB7">
        <w:rPr>
          <w:highlight w:val="yellow"/>
        </w:rPr>
        <w:t>. https://doi.org/10.1016/S2665-9913(21)00371-4</w:t>
      </w:r>
      <w:commentRangeEnd w:id="100"/>
      <w:r>
        <w:rPr>
          <w:rStyle w:val="CommentReference"/>
          <w:rFonts w:asciiTheme="minorHAnsi" w:eastAsiaTheme="minorHAnsi" w:hAnsiTheme="minorHAnsi" w:cstheme="minorBidi"/>
          <w:color w:val="auto"/>
        </w:rPr>
        <w:commentReference w:id="100"/>
      </w:r>
    </w:p>
    <w:p w14:paraId="74F78142" w14:textId="0BCF8840" w:rsidR="004A3EB7" w:rsidRPr="004A3EB7" w:rsidRDefault="004A3EB7" w:rsidP="00666310">
      <w:pPr>
        <w:pStyle w:val="65ReferencesTextstylesTextstyles"/>
        <w:rPr>
          <w:highlight w:val="yellow"/>
        </w:rPr>
      </w:pPr>
      <w:commentRangeStart w:id="101"/>
      <w:commentRangeStart w:id="102"/>
      <w:commentRangeStart w:id="103"/>
      <w:r w:rsidRPr="004A3EB7">
        <w:rPr>
          <w:highlight w:val="yellow"/>
        </w:rPr>
        <w:t>129.</w:t>
      </w:r>
      <w:r w:rsidRPr="004A3EB7">
        <w:rPr>
          <w:highlight w:val="yellow"/>
        </w:rPr>
        <w:tab/>
        <w:t xml:space="preserve">Moore A, Wylde V, Bruce J, Howells N, Bertram W, Eccleston C, Gooberman-Hill R. Experiences of recovery and a new care pathway for people with pain after total knee replacement: qualitative research embedded in the STAR trial. </w:t>
      </w:r>
      <w:r w:rsidRPr="004A3EB7">
        <w:rPr>
          <w:i/>
          <w:highlight w:val="yellow"/>
        </w:rPr>
        <w:t>BMC Musculoskelet Disord</w:t>
      </w:r>
      <w:r w:rsidRPr="004A3EB7">
        <w:rPr>
          <w:highlight w:val="yellow"/>
        </w:rPr>
        <w:t xml:space="preserve"> 2022;</w:t>
      </w:r>
      <w:r w:rsidRPr="004A3EB7">
        <w:rPr>
          <w:b/>
          <w:highlight w:val="yellow"/>
        </w:rPr>
        <w:t>23</w:t>
      </w:r>
      <w:r w:rsidRPr="004A3EB7">
        <w:rPr>
          <w:highlight w:val="yellow"/>
        </w:rPr>
        <w:t>:</w:t>
      </w:r>
      <w:r w:rsidRPr="004A3EB7">
        <w:rPr>
          <w:color w:val="auto"/>
          <w:highlight w:val="yellow"/>
        </w:rPr>
        <w:t>451</w:t>
      </w:r>
      <w:r w:rsidRPr="004A3EB7">
        <w:rPr>
          <w:highlight w:val="yellow"/>
        </w:rPr>
        <w:t>. https://doi.org/10.1186/s12891-022-05423-5</w:t>
      </w:r>
      <w:commentRangeEnd w:id="101"/>
      <w:r>
        <w:rPr>
          <w:rStyle w:val="CommentReference"/>
          <w:rFonts w:asciiTheme="minorHAnsi" w:eastAsiaTheme="minorHAnsi" w:hAnsiTheme="minorHAnsi" w:cstheme="minorBidi"/>
          <w:color w:val="auto"/>
        </w:rPr>
        <w:commentReference w:id="101"/>
      </w:r>
      <w:commentRangeEnd w:id="102"/>
      <w:r>
        <w:rPr>
          <w:rStyle w:val="CommentReference"/>
          <w:rFonts w:asciiTheme="minorHAnsi" w:eastAsiaTheme="minorHAnsi" w:hAnsiTheme="minorHAnsi" w:cstheme="minorBidi"/>
          <w:color w:val="auto"/>
        </w:rPr>
        <w:commentReference w:id="102"/>
      </w:r>
      <w:commentRangeEnd w:id="103"/>
      <w:r>
        <w:rPr>
          <w:rStyle w:val="CommentReference"/>
          <w:rFonts w:asciiTheme="minorHAnsi" w:eastAsiaTheme="minorHAnsi" w:hAnsiTheme="minorHAnsi" w:cstheme="minorBidi"/>
          <w:color w:val="auto"/>
        </w:rPr>
        <w:commentReference w:id="103"/>
      </w:r>
    </w:p>
    <w:p w14:paraId="2E494537" w14:textId="33AAC875" w:rsidR="004A3EB7" w:rsidRPr="004A3EB7" w:rsidRDefault="004A3EB7" w:rsidP="00666310">
      <w:pPr>
        <w:pStyle w:val="65ReferencesTextstylesTextstyles"/>
        <w:rPr>
          <w:highlight w:val="yellow"/>
        </w:rPr>
      </w:pPr>
      <w:commentRangeStart w:id="104"/>
      <w:r w:rsidRPr="004A3EB7">
        <w:rPr>
          <w:highlight w:val="yellow"/>
        </w:rPr>
        <w:t>130.</w:t>
      </w:r>
      <w:r w:rsidRPr="004A3EB7">
        <w:rPr>
          <w:highlight w:val="yellow"/>
        </w:rPr>
        <w:tab/>
        <w:t xml:space="preserve">Wylde V, MacKichan F, Bruce J, Gooberman-Hill R. Assessment of chronic post-surgical pain after knee replacement: development of a core outcome set. </w:t>
      </w:r>
      <w:r w:rsidRPr="004A3EB7">
        <w:rPr>
          <w:i/>
          <w:highlight w:val="yellow"/>
        </w:rPr>
        <w:t>Eur J Pain</w:t>
      </w:r>
      <w:r w:rsidRPr="004A3EB7">
        <w:rPr>
          <w:highlight w:val="yellow"/>
        </w:rPr>
        <w:t xml:space="preserve"> 2015;</w:t>
      </w:r>
      <w:r w:rsidRPr="004A3EB7">
        <w:rPr>
          <w:b/>
          <w:highlight w:val="yellow"/>
        </w:rPr>
        <w:t>19</w:t>
      </w:r>
      <w:r w:rsidRPr="004A3EB7">
        <w:rPr>
          <w:highlight w:val="yellow"/>
        </w:rPr>
        <w:t>:</w:t>
      </w:r>
      <w:r w:rsidRPr="004A3EB7">
        <w:rPr>
          <w:color w:val="auto"/>
          <w:highlight w:val="yellow"/>
        </w:rPr>
        <w:t>611</w:t>
      </w:r>
      <w:r w:rsidRPr="004A3EB7">
        <w:rPr>
          <w:color w:val="00B0F0"/>
          <w:highlight w:val="yellow"/>
        </w:rPr>
        <w:t>–</w:t>
      </w:r>
      <w:r w:rsidRPr="004A3EB7">
        <w:rPr>
          <w:color w:val="auto"/>
          <w:highlight w:val="yellow"/>
        </w:rPr>
        <w:t>20</w:t>
      </w:r>
      <w:r w:rsidRPr="004A3EB7">
        <w:rPr>
          <w:highlight w:val="yellow"/>
        </w:rPr>
        <w:t>. https://doi.org/10.1002/ejp.582</w:t>
      </w:r>
      <w:commentRangeEnd w:id="104"/>
      <w:r>
        <w:rPr>
          <w:rStyle w:val="CommentReference"/>
          <w:rFonts w:asciiTheme="minorHAnsi" w:eastAsiaTheme="minorHAnsi" w:hAnsiTheme="minorHAnsi" w:cstheme="minorBidi"/>
          <w:color w:val="auto"/>
        </w:rPr>
        <w:commentReference w:id="104"/>
      </w:r>
    </w:p>
    <w:p w14:paraId="4E30F705" w14:textId="716192D2" w:rsidR="00666310" w:rsidRPr="00666310" w:rsidRDefault="00666310" w:rsidP="00666310">
      <w:pPr>
        <w:pStyle w:val="65ReferencesTextstylesTextstyles"/>
      </w:pPr>
      <w:r w:rsidRPr="00666310">
        <w:t>131.</w:t>
      </w:r>
      <w:r w:rsidR="004A3EB7">
        <w:tab/>
      </w:r>
      <w:r w:rsidR="00411DB7" w:rsidRPr="00666310">
        <w:t>Cleeland CS. The Brief Pain Inventory: User guide. Houston, Texas: University of Texas; 2009.</w:t>
      </w:r>
    </w:p>
    <w:p w14:paraId="717EBE23" w14:textId="39D8F5BD" w:rsidR="004A3EB7" w:rsidRPr="004A3EB7" w:rsidRDefault="004A3EB7" w:rsidP="00666310">
      <w:pPr>
        <w:pStyle w:val="65ReferencesTextstylesTextstyles"/>
        <w:rPr>
          <w:highlight w:val="yellow"/>
        </w:rPr>
      </w:pPr>
      <w:commentRangeStart w:id="105"/>
      <w:r w:rsidRPr="004A3EB7">
        <w:rPr>
          <w:highlight w:val="yellow"/>
        </w:rPr>
        <w:t>132.</w:t>
      </w:r>
      <w:r w:rsidRPr="004A3EB7">
        <w:rPr>
          <w:highlight w:val="yellow"/>
        </w:rPr>
        <w:tab/>
        <w:t xml:space="preserve">Freynhagen R, Baron R, Gockel U, Tölle TR. painDETECT: a new screening questionnaire to identify neuropathic components in patients with back pain. </w:t>
      </w:r>
      <w:r w:rsidRPr="004A3EB7">
        <w:rPr>
          <w:i/>
          <w:highlight w:val="yellow"/>
        </w:rPr>
        <w:t>Curr Med Res Opin</w:t>
      </w:r>
      <w:r w:rsidRPr="004A3EB7">
        <w:rPr>
          <w:highlight w:val="yellow"/>
        </w:rPr>
        <w:t xml:space="preserve"> 2006;</w:t>
      </w:r>
      <w:r w:rsidRPr="004A3EB7">
        <w:rPr>
          <w:b/>
          <w:highlight w:val="yellow"/>
        </w:rPr>
        <w:t>22</w:t>
      </w:r>
      <w:r w:rsidRPr="004A3EB7">
        <w:rPr>
          <w:highlight w:val="yellow"/>
        </w:rPr>
        <w:t>:</w:t>
      </w:r>
      <w:r w:rsidRPr="004A3EB7">
        <w:rPr>
          <w:color w:val="auto"/>
          <w:highlight w:val="yellow"/>
        </w:rPr>
        <w:t>1911</w:t>
      </w:r>
      <w:r w:rsidRPr="004A3EB7">
        <w:rPr>
          <w:color w:val="00B0F0"/>
          <w:highlight w:val="yellow"/>
        </w:rPr>
        <w:t>–</w:t>
      </w:r>
      <w:r w:rsidRPr="004A3EB7">
        <w:rPr>
          <w:color w:val="auto"/>
          <w:highlight w:val="yellow"/>
        </w:rPr>
        <w:t>20</w:t>
      </w:r>
      <w:r w:rsidRPr="004A3EB7">
        <w:rPr>
          <w:highlight w:val="yellow"/>
        </w:rPr>
        <w:t>. https://doi.org/10.1185/030079906X132488</w:t>
      </w:r>
      <w:commentRangeEnd w:id="105"/>
      <w:r>
        <w:rPr>
          <w:rStyle w:val="CommentReference"/>
          <w:rFonts w:asciiTheme="minorHAnsi" w:eastAsiaTheme="minorHAnsi" w:hAnsiTheme="minorHAnsi" w:cstheme="minorBidi"/>
          <w:color w:val="auto"/>
        </w:rPr>
        <w:commentReference w:id="105"/>
      </w:r>
    </w:p>
    <w:p w14:paraId="1DD80038" w14:textId="53582734" w:rsidR="004A3EB7" w:rsidRPr="004A3EB7" w:rsidRDefault="004A3EB7" w:rsidP="00666310">
      <w:pPr>
        <w:pStyle w:val="65ReferencesTextstylesTextstyles"/>
        <w:rPr>
          <w:highlight w:val="yellow"/>
        </w:rPr>
      </w:pPr>
      <w:commentRangeStart w:id="106"/>
      <w:r w:rsidRPr="004A3EB7">
        <w:rPr>
          <w:highlight w:val="yellow"/>
        </w:rPr>
        <w:t>133.</w:t>
      </w:r>
      <w:r w:rsidRPr="004A3EB7">
        <w:rPr>
          <w:highlight w:val="yellow"/>
        </w:rPr>
        <w:tab/>
        <w:t xml:space="preserve">Bouhassira D, Attal N, Alchaar H, Boureau F, Brochet B, Bruxelle J, </w:t>
      </w:r>
      <w:r w:rsidRPr="004A3EB7">
        <w:rPr>
          <w:i/>
          <w:highlight w:val="yellow"/>
        </w:rPr>
        <w:t>et al</w:t>
      </w:r>
      <w:r w:rsidRPr="004A3EB7">
        <w:rPr>
          <w:highlight w:val="yellow"/>
        </w:rPr>
        <w:t xml:space="preserve">. Comparison of pain syndromes associated with nervous or somatic lesions and development of a new neuropathic pain diagnostic questionnaire (DN4). </w:t>
      </w:r>
      <w:r w:rsidRPr="004A3EB7">
        <w:rPr>
          <w:i/>
          <w:highlight w:val="yellow"/>
        </w:rPr>
        <w:t>Pain</w:t>
      </w:r>
      <w:r w:rsidRPr="004A3EB7">
        <w:rPr>
          <w:highlight w:val="yellow"/>
        </w:rPr>
        <w:t xml:space="preserve"> 2005;</w:t>
      </w:r>
      <w:r w:rsidRPr="004A3EB7">
        <w:rPr>
          <w:b/>
          <w:highlight w:val="yellow"/>
        </w:rPr>
        <w:t>114</w:t>
      </w:r>
      <w:r w:rsidRPr="004A3EB7">
        <w:rPr>
          <w:highlight w:val="yellow"/>
        </w:rPr>
        <w:t>:</w:t>
      </w:r>
      <w:r w:rsidRPr="004A3EB7">
        <w:rPr>
          <w:color w:val="auto"/>
          <w:highlight w:val="yellow"/>
        </w:rPr>
        <w:t>29</w:t>
      </w:r>
      <w:r w:rsidRPr="004A3EB7">
        <w:rPr>
          <w:color w:val="00B0F0"/>
          <w:highlight w:val="yellow"/>
        </w:rPr>
        <w:t>–</w:t>
      </w:r>
      <w:r w:rsidRPr="004A3EB7">
        <w:rPr>
          <w:color w:val="auto"/>
          <w:highlight w:val="yellow"/>
        </w:rPr>
        <w:t>36</w:t>
      </w:r>
      <w:r w:rsidRPr="004A3EB7">
        <w:rPr>
          <w:highlight w:val="yellow"/>
        </w:rPr>
        <w:t>.</w:t>
      </w:r>
      <w:commentRangeEnd w:id="106"/>
      <w:r>
        <w:rPr>
          <w:rStyle w:val="CommentReference"/>
          <w:rFonts w:asciiTheme="minorHAnsi" w:eastAsiaTheme="minorHAnsi" w:hAnsiTheme="minorHAnsi" w:cstheme="minorBidi"/>
          <w:color w:val="auto"/>
        </w:rPr>
        <w:commentReference w:id="106"/>
      </w:r>
    </w:p>
    <w:p w14:paraId="0A507555" w14:textId="77E4E408" w:rsidR="004A3EB7" w:rsidRPr="004A3EB7" w:rsidRDefault="004A3EB7" w:rsidP="00666310">
      <w:pPr>
        <w:pStyle w:val="65ReferencesTextstylesTextstyles"/>
        <w:rPr>
          <w:highlight w:val="yellow"/>
        </w:rPr>
      </w:pPr>
      <w:commentRangeStart w:id="107"/>
      <w:r w:rsidRPr="004A3EB7">
        <w:rPr>
          <w:highlight w:val="yellow"/>
        </w:rPr>
        <w:t>134.</w:t>
      </w:r>
      <w:r w:rsidRPr="004A3EB7">
        <w:rPr>
          <w:highlight w:val="yellow"/>
        </w:rPr>
        <w:tab/>
        <w:t xml:space="preserve">Zigmond AS, Snaith RP. The hospital anxiety and depression scale. </w:t>
      </w:r>
      <w:r w:rsidRPr="004A3EB7">
        <w:rPr>
          <w:i/>
          <w:highlight w:val="yellow"/>
        </w:rPr>
        <w:t>Acta Psychiatr Scand</w:t>
      </w:r>
      <w:r w:rsidRPr="004A3EB7">
        <w:rPr>
          <w:highlight w:val="yellow"/>
        </w:rPr>
        <w:t xml:space="preserve"> 1983;</w:t>
      </w:r>
      <w:r w:rsidRPr="004A3EB7">
        <w:rPr>
          <w:b/>
          <w:highlight w:val="yellow"/>
        </w:rPr>
        <w:t>67</w:t>
      </w:r>
      <w:r w:rsidRPr="004A3EB7">
        <w:rPr>
          <w:highlight w:val="yellow"/>
        </w:rPr>
        <w:t>:</w:t>
      </w:r>
      <w:r w:rsidRPr="004A3EB7">
        <w:rPr>
          <w:color w:val="auto"/>
          <w:highlight w:val="yellow"/>
        </w:rPr>
        <w:t>361</w:t>
      </w:r>
      <w:r w:rsidRPr="004A3EB7">
        <w:rPr>
          <w:color w:val="00B0F0"/>
          <w:highlight w:val="yellow"/>
        </w:rPr>
        <w:t>–</w:t>
      </w:r>
      <w:r w:rsidRPr="004A3EB7">
        <w:rPr>
          <w:color w:val="auto"/>
          <w:highlight w:val="yellow"/>
        </w:rPr>
        <w:t>70</w:t>
      </w:r>
      <w:r w:rsidRPr="004A3EB7">
        <w:rPr>
          <w:highlight w:val="yellow"/>
        </w:rPr>
        <w:t>. https://doi.org/10.1111/j.1600-0447.1983.tb09716.x</w:t>
      </w:r>
      <w:commentRangeEnd w:id="107"/>
      <w:r>
        <w:rPr>
          <w:rStyle w:val="CommentReference"/>
          <w:rFonts w:asciiTheme="minorHAnsi" w:eastAsiaTheme="minorHAnsi" w:hAnsiTheme="minorHAnsi" w:cstheme="minorBidi"/>
          <w:color w:val="auto"/>
        </w:rPr>
        <w:commentReference w:id="107"/>
      </w:r>
    </w:p>
    <w:p w14:paraId="54D58107" w14:textId="114BE436" w:rsidR="00666310" w:rsidRPr="00666310" w:rsidRDefault="00666310" w:rsidP="00666310">
      <w:pPr>
        <w:pStyle w:val="65ReferencesTextstylesTextstyles"/>
      </w:pPr>
      <w:r w:rsidRPr="00666310">
        <w:t>135.</w:t>
      </w:r>
      <w:r w:rsidR="004A3EB7">
        <w:tab/>
      </w:r>
      <w:r w:rsidR="00411DB7" w:rsidRPr="00666310">
        <w:t>Sullivan MJL, Bishop SR, Pivik J. The Pain Catastrophizing Scale: Development and validation. Psychol Assess. 1995;7(4):524-32.</w:t>
      </w:r>
    </w:p>
    <w:p w14:paraId="47EBF049" w14:textId="1B0628C7" w:rsidR="004A3EB7" w:rsidRPr="004A3EB7" w:rsidRDefault="004A3EB7" w:rsidP="00666310">
      <w:pPr>
        <w:pStyle w:val="65ReferencesTextstylesTextstyles"/>
        <w:rPr>
          <w:highlight w:val="yellow"/>
        </w:rPr>
      </w:pPr>
      <w:commentRangeStart w:id="108"/>
      <w:commentRangeStart w:id="109"/>
      <w:r w:rsidRPr="004A3EB7">
        <w:rPr>
          <w:highlight w:val="yellow"/>
        </w:rPr>
        <w:lastRenderedPageBreak/>
        <w:t>136.</w:t>
      </w:r>
      <w:r w:rsidRPr="004A3EB7">
        <w:rPr>
          <w:highlight w:val="yellow"/>
        </w:rPr>
        <w:tab/>
        <w:t xml:space="preserve">De Vlieger P, Van den Bussche E, Eccleston C, Crombez G. Finding a solution to the problem of pain: conceptual formulation and the development of the Pain Solutions Questionnaire (PaSol). </w:t>
      </w:r>
      <w:r w:rsidRPr="004A3EB7">
        <w:rPr>
          <w:i/>
          <w:highlight w:val="yellow"/>
        </w:rPr>
        <w:t>Pain</w:t>
      </w:r>
      <w:r w:rsidRPr="004A3EB7">
        <w:rPr>
          <w:highlight w:val="yellow"/>
        </w:rPr>
        <w:t xml:space="preserve"> 2006;</w:t>
      </w:r>
      <w:r w:rsidRPr="004A3EB7">
        <w:rPr>
          <w:b/>
          <w:highlight w:val="yellow"/>
        </w:rPr>
        <w:t>123</w:t>
      </w:r>
      <w:r w:rsidRPr="004A3EB7">
        <w:rPr>
          <w:highlight w:val="yellow"/>
        </w:rPr>
        <w:t>:</w:t>
      </w:r>
      <w:r w:rsidRPr="004A3EB7">
        <w:rPr>
          <w:color w:val="auto"/>
          <w:highlight w:val="yellow"/>
        </w:rPr>
        <w:t>285</w:t>
      </w:r>
      <w:r>
        <w:rPr>
          <w:color w:val="00B0F0"/>
          <w:highlight w:val="yellow"/>
        </w:rPr>
        <w:t>–</w:t>
      </w:r>
      <w:r w:rsidRPr="004A3EB7">
        <w:rPr>
          <w:color w:val="auto"/>
          <w:highlight w:val="yellow"/>
        </w:rPr>
        <w:t>93</w:t>
      </w:r>
      <w:r w:rsidRPr="004A3EB7">
        <w:rPr>
          <w:highlight w:val="yellow"/>
        </w:rPr>
        <w:t>. https://doi.org/10.1016/j.pain.2006.03.005</w:t>
      </w:r>
      <w:commentRangeEnd w:id="108"/>
      <w:r>
        <w:rPr>
          <w:rStyle w:val="CommentReference"/>
          <w:rFonts w:asciiTheme="minorHAnsi" w:eastAsiaTheme="minorHAnsi" w:hAnsiTheme="minorHAnsi" w:cstheme="minorBidi"/>
          <w:color w:val="auto"/>
        </w:rPr>
        <w:commentReference w:id="108"/>
      </w:r>
      <w:commentRangeEnd w:id="109"/>
      <w:r>
        <w:rPr>
          <w:rStyle w:val="CommentReference"/>
          <w:rFonts w:asciiTheme="minorHAnsi" w:eastAsiaTheme="minorHAnsi" w:hAnsiTheme="minorHAnsi" w:cstheme="minorBidi"/>
          <w:color w:val="auto"/>
        </w:rPr>
        <w:commentReference w:id="109"/>
      </w:r>
    </w:p>
    <w:p w14:paraId="5870BCA8" w14:textId="45E7CE25" w:rsidR="004A3EB7" w:rsidRPr="004A3EB7" w:rsidRDefault="004A3EB7" w:rsidP="00666310">
      <w:pPr>
        <w:pStyle w:val="65ReferencesTextstylesTextstyles"/>
        <w:rPr>
          <w:highlight w:val="yellow"/>
        </w:rPr>
      </w:pPr>
      <w:commentRangeStart w:id="110"/>
      <w:r w:rsidRPr="004A3EB7">
        <w:rPr>
          <w:highlight w:val="yellow"/>
        </w:rPr>
        <w:t>137.</w:t>
      </w:r>
      <w:r w:rsidRPr="004A3EB7">
        <w:rPr>
          <w:highlight w:val="yellow"/>
        </w:rPr>
        <w:tab/>
        <w:t xml:space="preserve">Mahomed N, Gandhi R, Daltroy L, Katz JN. The self-administered patient satisfaction scale for primary hip and knee arthroplasty. </w:t>
      </w:r>
      <w:r w:rsidRPr="004A3EB7">
        <w:rPr>
          <w:i/>
          <w:highlight w:val="yellow"/>
        </w:rPr>
        <w:t>Arthritis</w:t>
      </w:r>
      <w:r w:rsidRPr="004A3EB7">
        <w:rPr>
          <w:highlight w:val="yellow"/>
        </w:rPr>
        <w:t xml:space="preserve"> 2011;</w:t>
      </w:r>
      <w:r w:rsidRPr="004A3EB7">
        <w:rPr>
          <w:b/>
          <w:highlight w:val="yellow"/>
        </w:rPr>
        <w:t>2011</w:t>
      </w:r>
      <w:r w:rsidRPr="004A3EB7">
        <w:rPr>
          <w:highlight w:val="yellow"/>
        </w:rPr>
        <w:t>:</w:t>
      </w:r>
      <w:r w:rsidRPr="004A3EB7">
        <w:rPr>
          <w:color w:val="auto"/>
          <w:highlight w:val="yellow"/>
        </w:rPr>
        <w:t>591253</w:t>
      </w:r>
      <w:r w:rsidRPr="004A3EB7">
        <w:rPr>
          <w:highlight w:val="yellow"/>
        </w:rPr>
        <w:t>. https://doi.org/10.1155/2011/591253</w:t>
      </w:r>
      <w:commentRangeEnd w:id="110"/>
      <w:r>
        <w:rPr>
          <w:rStyle w:val="CommentReference"/>
          <w:rFonts w:asciiTheme="minorHAnsi" w:eastAsiaTheme="minorHAnsi" w:hAnsiTheme="minorHAnsi" w:cstheme="minorBidi"/>
          <w:color w:val="auto"/>
        </w:rPr>
        <w:commentReference w:id="110"/>
      </w:r>
    </w:p>
    <w:p w14:paraId="01EAF566" w14:textId="68DC2912" w:rsidR="004A3EB7" w:rsidRPr="004A3EB7" w:rsidRDefault="004A3EB7" w:rsidP="00666310">
      <w:pPr>
        <w:pStyle w:val="65ReferencesTextstylesTextstyles"/>
        <w:rPr>
          <w:highlight w:val="yellow"/>
        </w:rPr>
      </w:pPr>
      <w:commentRangeStart w:id="111"/>
      <w:r w:rsidRPr="004A3EB7">
        <w:rPr>
          <w:highlight w:val="yellow"/>
        </w:rPr>
        <w:t>138.</w:t>
      </w:r>
      <w:r w:rsidRPr="004A3EB7">
        <w:rPr>
          <w:highlight w:val="yellow"/>
        </w:rPr>
        <w:tab/>
        <w:t xml:space="preserve">Al-Janabi H, Flynn TN, Coast J. Development of a self-report measure of capability wellbeing for adults: the ICECAP-A. </w:t>
      </w:r>
      <w:r w:rsidRPr="004A3EB7">
        <w:rPr>
          <w:i/>
          <w:highlight w:val="yellow"/>
        </w:rPr>
        <w:t>Qual Life Res</w:t>
      </w:r>
      <w:r w:rsidRPr="004A3EB7">
        <w:rPr>
          <w:highlight w:val="yellow"/>
        </w:rPr>
        <w:t xml:space="preserve"> 2012;</w:t>
      </w:r>
      <w:r w:rsidRPr="004A3EB7">
        <w:rPr>
          <w:b/>
          <w:highlight w:val="yellow"/>
        </w:rPr>
        <w:t>21</w:t>
      </w:r>
      <w:r w:rsidRPr="004A3EB7">
        <w:rPr>
          <w:highlight w:val="yellow"/>
        </w:rPr>
        <w:t>:</w:t>
      </w:r>
      <w:r w:rsidRPr="004A3EB7">
        <w:rPr>
          <w:color w:val="auto"/>
          <w:highlight w:val="yellow"/>
        </w:rPr>
        <w:t>167</w:t>
      </w:r>
      <w:r w:rsidRPr="004A3EB7">
        <w:rPr>
          <w:color w:val="00B0F0"/>
          <w:highlight w:val="yellow"/>
        </w:rPr>
        <w:t>–</w:t>
      </w:r>
      <w:r w:rsidRPr="004A3EB7">
        <w:rPr>
          <w:color w:val="auto"/>
          <w:highlight w:val="yellow"/>
        </w:rPr>
        <w:t>76</w:t>
      </w:r>
      <w:r w:rsidRPr="004A3EB7">
        <w:rPr>
          <w:highlight w:val="yellow"/>
        </w:rPr>
        <w:t>. https://doi.org/10.1007/s11136-011-9927-2</w:t>
      </w:r>
      <w:commentRangeEnd w:id="111"/>
      <w:r>
        <w:rPr>
          <w:rStyle w:val="CommentReference"/>
          <w:rFonts w:asciiTheme="minorHAnsi" w:eastAsiaTheme="minorHAnsi" w:hAnsiTheme="minorHAnsi" w:cstheme="minorBidi"/>
          <w:color w:val="auto"/>
        </w:rPr>
        <w:commentReference w:id="111"/>
      </w:r>
    </w:p>
    <w:p w14:paraId="04ED226C" w14:textId="61208A41" w:rsidR="004A3EB7" w:rsidRPr="004A3EB7" w:rsidRDefault="004A3EB7" w:rsidP="00666310">
      <w:pPr>
        <w:pStyle w:val="65ReferencesTextstylesTextstyles"/>
        <w:rPr>
          <w:highlight w:val="yellow"/>
        </w:rPr>
      </w:pPr>
      <w:commentRangeStart w:id="112"/>
      <w:r w:rsidRPr="004A3EB7">
        <w:rPr>
          <w:highlight w:val="yellow"/>
        </w:rPr>
        <w:t>139.</w:t>
      </w:r>
      <w:r w:rsidRPr="004A3EB7">
        <w:rPr>
          <w:highlight w:val="yellow"/>
        </w:rPr>
        <w:tab/>
        <w:t xml:space="preserve">Herdman M, Gudex C, Lloyd A, Janssen M, Kind P, Parkin D, </w:t>
      </w:r>
      <w:r w:rsidRPr="004A3EB7">
        <w:rPr>
          <w:i/>
          <w:highlight w:val="yellow"/>
        </w:rPr>
        <w:t>et al</w:t>
      </w:r>
      <w:r w:rsidRPr="004A3EB7">
        <w:rPr>
          <w:highlight w:val="yellow"/>
        </w:rPr>
        <w:t xml:space="preserve">. Development and preliminary testing of the new five-level version of EQ-5D (EQ-5D-5L). </w:t>
      </w:r>
      <w:r w:rsidRPr="004A3EB7">
        <w:rPr>
          <w:i/>
          <w:highlight w:val="yellow"/>
        </w:rPr>
        <w:t>Qual Life Res</w:t>
      </w:r>
      <w:r w:rsidRPr="004A3EB7">
        <w:rPr>
          <w:highlight w:val="yellow"/>
        </w:rPr>
        <w:t xml:space="preserve"> 2011;</w:t>
      </w:r>
      <w:r w:rsidRPr="004A3EB7">
        <w:rPr>
          <w:b/>
          <w:highlight w:val="yellow"/>
        </w:rPr>
        <w:t>20</w:t>
      </w:r>
      <w:r w:rsidRPr="004A3EB7">
        <w:rPr>
          <w:highlight w:val="yellow"/>
        </w:rPr>
        <w:t>:</w:t>
      </w:r>
      <w:r w:rsidRPr="004A3EB7">
        <w:rPr>
          <w:color w:val="auto"/>
          <w:highlight w:val="yellow"/>
        </w:rPr>
        <w:t>1727</w:t>
      </w:r>
      <w:r w:rsidRPr="004A3EB7">
        <w:rPr>
          <w:color w:val="00B0F0"/>
          <w:highlight w:val="yellow"/>
        </w:rPr>
        <w:t>–</w:t>
      </w:r>
      <w:r w:rsidRPr="004A3EB7">
        <w:rPr>
          <w:color w:val="auto"/>
          <w:highlight w:val="yellow"/>
        </w:rPr>
        <w:t>36</w:t>
      </w:r>
      <w:r w:rsidRPr="004A3EB7">
        <w:rPr>
          <w:highlight w:val="yellow"/>
        </w:rPr>
        <w:t>. https://doi.org/10.1007/s11136-011-9903-x</w:t>
      </w:r>
      <w:commentRangeEnd w:id="112"/>
      <w:r>
        <w:rPr>
          <w:rStyle w:val="CommentReference"/>
          <w:rFonts w:asciiTheme="minorHAnsi" w:eastAsiaTheme="minorHAnsi" w:hAnsiTheme="minorHAnsi" w:cstheme="minorBidi"/>
          <w:color w:val="auto"/>
        </w:rPr>
        <w:commentReference w:id="112"/>
      </w:r>
    </w:p>
    <w:p w14:paraId="358BC6ED" w14:textId="3864BCFA" w:rsidR="004A3EB7" w:rsidRPr="004A3EB7" w:rsidRDefault="004A3EB7" w:rsidP="00666310">
      <w:pPr>
        <w:pStyle w:val="65ReferencesTextstylesTextstyles"/>
        <w:rPr>
          <w:highlight w:val="yellow"/>
        </w:rPr>
      </w:pPr>
      <w:commentRangeStart w:id="113"/>
      <w:r w:rsidRPr="004A3EB7">
        <w:rPr>
          <w:highlight w:val="yellow"/>
        </w:rPr>
        <w:t>140.</w:t>
      </w:r>
      <w:r w:rsidRPr="004A3EB7">
        <w:rPr>
          <w:highlight w:val="yellow"/>
        </w:rPr>
        <w:tab/>
        <w:t xml:space="preserve">Ware J, Kosinski M, Keller SD. A 12-Item Short-Form Health Survey: construction of scales and preliminary tests of reliability and validity. </w:t>
      </w:r>
      <w:r w:rsidRPr="004A3EB7">
        <w:rPr>
          <w:i/>
          <w:highlight w:val="yellow"/>
        </w:rPr>
        <w:t>Med Care</w:t>
      </w:r>
      <w:r w:rsidRPr="004A3EB7">
        <w:rPr>
          <w:highlight w:val="yellow"/>
        </w:rPr>
        <w:t xml:space="preserve"> 1996;</w:t>
      </w:r>
      <w:r w:rsidRPr="004A3EB7">
        <w:rPr>
          <w:b/>
          <w:highlight w:val="yellow"/>
        </w:rPr>
        <w:t>34</w:t>
      </w:r>
      <w:r w:rsidRPr="004A3EB7">
        <w:rPr>
          <w:highlight w:val="yellow"/>
        </w:rPr>
        <w:t>:</w:t>
      </w:r>
      <w:r w:rsidRPr="004A3EB7">
        <w:rPr>
          <w:color w:val="auto"/>
          <w:highlight w:val="yellow"/>
        </w:rPr>
        <w:t>220</w:t>
      </w:r>
      <w:r w:rsidRPr="004A3EB7">
        <w:rPr>
          <w:color w:val="00B0F0"/>
          <w:highlight w:val="yellow"/>
        </w:rPr>
        <w:t>–</w:t>
      </w:r>
      <w:r w:rsidRPr="004A3EB7">
        <w:rPr>
          <w:color w:val="auto"/>
          <w:highlight w:val="yellow"/>
        </w:rPr>
        <w:t>33</w:t>
      </w:r>
      <w:r w:rsidRPr="004A3EB7">
        <w:rPr>
          <w:highlight w:val="yellow"/>
        </w:rPr>
        <w:t>. https://doi.org/10.1097/00005650-199603000-00003</w:t>
      </w:r>
      <w:commentRangeEnd w:id="113"/>
      <w:r>
        <w:rPr>
          <w:rStyle w:val="CommentReference"/>
          <w:rFonts w:asciiTheme="minorHAnsi" w:eastAsiaTheme="minorHAnsi" w:hAnsiTheme="minorHAnsi" w:cstheme="minorBidi"/>
          <w:color w:val="auto"/>
        </w:rPr>
        <w:commentReference w:id="113"/>
      </w:r>
    </w:p>
    <w:p w14:paraId="31A42FEC" w14:textId="0BB282BD" w:rsidR="004A3EB7" w:rsidRPr="004A3EB7" w:rsidRDefault="004A3EB7" w:rsidP="00666310">
      <w:pPr>
        <w:pStyle w:val="65ReferencesTextstylesTextstyles"/>
        <w:rPr>
          <w:highlight w:val="yellow"/>
        </w:rPr>
      </w:pPr>
      <w:commentRangeStart w:id="114"/>
      <w:r w:rsidRPr="004A3EB7">
        <w:rPr>
          <w:highlight w:val="yellow"/>
        </w:rPr>
        <w:t>141.</w:t>
      </w:r>
      <w:r w:rsidRPr="004A3EB7">
        <w:rPr>
          <w:highlight w:val="yellow"/>
        </w:rPr>
        <w:tab/>
        <w:t xml:space="preserve">Hunt IM, Silman AJ, Benjamin S, McBeth J, Macfarlane GJ. The prevalence and associated features of chronic widespread pain in the community using the ‘Manchester’ definition of chronic widespread pain. </w:t>
      </w:r>
      <w:r w:rsidRPr="004A3EB7">
        <w:rPr>
          <w:i/>
          <w:highlight w:val="yellow"/>
        </w:rPr>
        <w:t>Rheumatology</w:t>
      </w:r>
      <w:r w:rsidRPr="004A3EB7">
        <w:rPr>
          <w:highlight w:val="yellow"/>
        </w:rPr>
        <w:t xml:space="preserve"> 1999;</w:t>
      </w:r>
      <w:r w:rsidRPr="004A3EB7">
        <w:rPr>
          <w:b/>
          <w:highlight w:val="yellow"/>
        </w:rPr>
        <w:t>38</w:t>
      </w:r>
      <w:r w:rsidRPr="004A3EB7">
        <w:rPr>
          <w:highlight w:val="yellow"/>
        </w:rPr>
        <w:t>:</w:t>
      </w:r>
      <w:r w:rsidRPr="004A3EB7">
        <w:rPr>
          <w:color w:val="auto"/>
          <w:highlight w:val="yellow"/>
        </w:rPr>
        <w:t>275</w:t>
      </w:r>
      <w:r w:rsidRPr="004A3EB7">
        <w:rPr>
          <w:color w:val="00B0F0"/>
          <w:highlight w:val="yellow"/>
        </w:rPr>
        <w:t>–</w:t>
      </w:r>
      <w:r w:rsidRPr="004A3EB7">
        <w:rPr>
          <w:color w:val="auto"/>
          <w:highlight w:val="yellow"/>
        </w:rPr>
        <w:t>9</w:t>
      </w:r>
      <w:r w:rsidRPr="004A3EB7">
        <w:rPr>
          <w:highlight w:val="yellow"/>
        </w:rPr>
        <w:t>. https://doi.org/10.1093/rheumatology/38.3.275</w:t>
      </w:r>
      <w:commentRangeEnd w:id="114"/>
      <w:r>
        <w:rPr>
          <w:rStyle w:val="CommentReference"/>
          <w:rFonts w:asciiTheme="minorHAnsi" w:eastAsiaTheme="minorHAnsi" w:hAnsiTheme="minorHAnsi" w:cstheme="minorBidi"/>
          <w:color w:val="auto"/>
        </w:rPr>
        <w:commentReference w:id="114"/>
      </w:r>
    </w:p>
    <w:p w14:paraId="2CCCADDC" w14:textId="422B308D" w:rsidR="00666310" w:rsidRPr="00666310" w:rsidRDefault="00666310" w:rsidP="00666310">
      <w:pPr>
        <w:pStyle w:val="65ReferencesTextstylesTextstyles"/>
      </w:pPr>
      <w:r w:rsidRPr="00666310">
        <w:t>142.</w:t>
      </w:r>
      <w:r w:rsidR="004A3EB7">
        <w:tab/>
      </w:r>
      <w:r w:rsidR="00411DB7" w:rsidRPr="00666310">
        <w:t>Braun V, Clarke V. Using thematic analysis in psychology. Qual Res Psychol. 2006;3(2):77-101.</w:t>
      </w:r>
    </w:p>
    <w:p w14:paraId="22FCCF9E" w14:textId="2832F44A" w:rsidR="00666310" w:rsidRPr="00666310" w:rsidRDefault="00666310" w:rsidP="00666310">
      <w:pPr>
        <w:pStyle w:val="65ReferencesTextstylesTextstyles"/>
      </w:pPr>
      <w:r w:rsidRPr="00666310">
        <w:t>143.</w:t>
      </w:r>
      <w:r w:rsidR="004A3EB7">
        <w:tab/>
      </w:r>
      <w:r w:rsidR="00411DB7" w:rsidRPr="00666310">
        <w:t>Sanderson E, Peters T, Gooberman-Hill R. STAR: Support and Treatment After joint Replacement statistical analysis plan University of Bristol publications repository: University of Bristol; 2017. Available from: http://research-information.bristol.ac.uk/en/publications/star-support-and-treatment-after-joint-replacement-statistical-analysis-plan(af2c669b-7b44-4435-8c33-a105303af792).html. Accessed on 7th May 2021</w:t>
      </w:r>
    </w:p>
    <w:p w14:paraId="6F38648A" w14:textId="35CF265C" w:rsidR="00666310" w:rsidRPr="00666310" w:rsidRDefault="00666310" w:rsidP="00666310">
      <w:pPr>
        <w:pStyle w:val="65ReferencesTextstylesTextstyles"/>
      </w:pPr>
      <w:r w:rsidRPr="00666310">
        <w:t>144.</w:t>
      </w:r>
      <w:r w:rsidR="004A3EB7">
        <w:tab/>
      </w:r>
      <w:r w:rsidR="00411DB7" w:rsidRPr="00666310">
        <w:t>Noble SM, Harris SRS. Evaluation of a care pathway for patients with long-term pain after knee replacement. Health Economic Analysis Plan. Version 1.0 University of Bristol publications repository: University of Bristol; 2020 updated 05/06/2020. Available from: https://research-information.bris.ac.uk/admin/editor/dk/atira/pure/api/shared/model/researchoutput/editor/othercontributioneditor.xhtml?id=242072533. Accessed on 7th May 2021</w:t>
      </w:r>
    </w:p>
    <w:p w14:paraId="70C54A9E" w14:textId="5A4E3DD0" w:rsidR="004A3EB7" w:rsidRPr="004A3EB7" w:rsidRDefault="004A3EB7" w:rsidP="00666310">
      <w:pPr>
        <w:pStyle w:val="65ReferencesTextstylesTextstyles"/>
        <w:rPr>
          <w:highlight w:val="yellow"/>
        </w:rPr>
      </w:pPr>
      <w:commentRangeStart w:id="115"/>
      <w:commentRangeStart w:id="116"/>
      <w:r w:rsidRPr="004A3EB7">
        <w:rPr>
          <w:highlight w:val="yellow"/>
        </w:rPr>
        <w:t>145.</w:t>
      </w:r>
      <w:r w:rsidRPr="004A3EB7">
        <w:rPr>
          <w:highlight w:val="yellow"/>
        </w:rPr>
        <w:tab/>
        <w:t xml:space="preserve">van Hout B, Janssen MF, Feng YS, Kohlmann T, Busschbach J, Golicki D, </w:t>
      </w:r>
      <w:r w:rsidRPr="004A3EB7">
        <w:rPr>
          <w:i/>
          <w:highlight w:val="yellow"/>
        </w:rPr>
        <w:t>et al</w:t>
      </w:r>
      <w:r w:rsidRPr="004A3EB7">
        <w:rPr>
          <w:highlight w:val="yellow"/>
        </w:rPr>
        <w:t xml:space="preserve">. Interim scoring for the EQ-5D-5L: mapping the EQ-5D-5L to EQ-5D-3L value sets. </w:t>
      </w:r>
      <w:r w:rsidRPr="004A3EB7">
        <w:rPr>
          <w:i/>
          <w:highlight w:val="yellow"/>
        </w:rPr>
        <w:t>Value Health</w:t>
      </w:r>
      <w:r w:rsidRPr="004A3EB7">
        <w:rPr>
          <w:highlight w:val="yellow"/>
        </w:rPr>
        <w:t xml:space="preserve"> 2012;</w:t>
      </w:r>
      <w:r w:rsidRPr="004A3EB7">
        <w:rPr>
          <w:b/>
          <w:highlight w:val="yellow"/>
        </w:rPr>
        <w:t>15</w:t>
      </w:r>
      <w:r w:rsidRPr="004A3EB7">
        <w:rPr>
          <w:highlight w:val="yellow"/>
        </w:rPr>
        <w:t>:</w:t>
      </w:r>
      <w:r w:rsidRPr="004A3EB7">
        <w:rPr>
          <w:color w:val="auto"/>
          <w:highlight w:val="yellow"/>
        </w:rPr>
        <w:t>708</w:t>
      </w:r>
      <w:r w:rsidRPr="004A3EB7">
        <w:rPr>
          <w:color w:val="00B0F0"/>
          <w:highlight w:val="yellow"/>
        </w:rPr>
        <w:t>–</w:t>
      </w:r>
      <w:r w:rsidRPr="004A3EB7">
        <w:rPr>
          <w:color w:val="auto"/>
          <w:highlight w:val="yellow"/>
        </w:rPr>
        <w:t>15</w:t>
      </w:r>
      <w:r w:rsidRPr="004A3EB7">
        <w:rPr>
          <w:highlight w:val="yellow"/>
        </w:rPr>
        <w:t>. https://doi.org/10.1016/j.jval.2012.02.008</w:t>
      </w:r>
      <w:commentRangeEnd w:id="115"/>
      <w:r>
        <w:rPr>
          <w:rStyle w:val="CommentReference"/>
          <w:rFonts w:asciiTheme="minorHAnsi" w:eastAsiaTheme="minorHAnsi" w:hAnsiTheme="minorHAnsi" w:cstheme="minorBidi"/>
          <w:color w:val="auto"/>
        </w:rPr>
        <w:commentReference w:id="115"/>
      </w:r>
      <w:commentRangeEnd w:id="116"/>
      <w:r>
        <w:rPr>
          <w:rStyle w:val="CommentReference"/>
          <w:rFonts w:asciiTheme="minorHAnsi" w:eastAsiaTheme="minorHAnsi" w:hAnsiTheme="minorHAnsi" w:cstheme="minorBidi"/>
          <w:color w:val="auto"/>
        </w:rPr>
        <w:commentReference w:id="116"/>
      </w:r>
    </w:p>
    <w:p w14:paraId="30CD872D" w14:textId="21E7D290" w:rsidR="004A3EB7" w:rsidRPr="004A3EB7" w:rsidRDefault="004A3EB7" w:rsidP="00666310">
      <w:pPr>
        <w:pStyle w:val="65ReferencesTextstylesTextstyles"/>
        <w:rPr>
          <w:highlight w:val="yellow"/>
        </w:rPr>
      </w:pPr>
      <w:commentRangeStart w:id="117"/>
      <w:r w:rsidRPr="004A3EB7">
        <w:rPr>
          <w:highlight w:val="yellow"/>
        </w:rPr>
        <w:t>146.</w:t>
      </w:r>
      <w:r w:rsidRPr="004A3EB7">
        <w:rPr>
          <w:highlight w:val="yellow"/>
        </w:rPr>
        <w:tab/>
        <w:t xml:space="preserve">Smith MC, Ben-Shlomo Y, Dieppe P, Beswick AD, Adebajo AO, Wilkinson JM, Blom AW, National Joint Registry for England, Wales and Northern Ireland. Rates of hip and knee joint replacement amongst different ethnic groups in England: an analysis of National Joint Registry data. </w:t>
      </w:r>
      <w:r w:rsidRPr="004A3EB7">
        <w:rPr>
          <w:i/>
          <w:highlight w:val="yellow"/>
        </w:rPr>
        <w:t>Osteoarthritis Cartilage</w:t>
      </w:r>
      <w:r w:rsidRPr="004A3EB7">
        <w:rPr>
          <w:highlight w:val="yellow"/>
        </w:rPr>
        <w:t xml:space="preserve"> 2017;</w:t>
      </w:r>
      <w:r w:rsidRPr="004A3EB7">
        <w:rPr>
          <w:b/>
          <w:highlight w:val="yellow"/>
        </w:rPr>
        <w:t>25</w:t>
      </w:r>
      <w:r w:rsidRPr="004A3EB7">
        <w:rPr>
          <w:highlight w:val="yellow"/>
        </w:rPr>
        <w:t>:</w:t>
      </w:r>
      <w:r w:rsidRPr="004A3EB7">
        <w:rPr>
          <w:color w:val="auto"/>
          <w:highlight w:val="yellow"/>
        </w:rPr>
        <w:t>448</w:t>
      </w:r>
      <w:r>
        <w:rPr>
          <w:color w:val="00B0F0"/>
          <w:highlight w:val="yellow"/>
        </w:rPr>
        <w:t>–</w:t>
      </w:r>
      <w:r w:rsidRPr="004A3EB7">
        <w:rPr>
          <w:color w:val="auto"/>
          <w:highlight w:val="yellow"/>
        </w:rPr>
        <w:t>54</w:t>
      </w:r>
      <w:r w:rsidRPr="004A3EB7">
        <w:rPr>
          <w:highlight w:val="yellow"/>
        </w:rPr>
        <w:t>.</w:t>
      </w:r>
      <w:commentRangeEnd w:id="117"/>
      <w:r>
        <w:rPr>
          <w:rStyle w:val="CommentReference"/>
          <w:rFonts w:asciiTheme="minorHAnsi" w:eastAsiaTheme="minorHAnsi" w:hAnsiTheme="minorHAnsi" w:cstheme="minorBidi"/>
          <w:color w:val="auto"/>
        </w:rPr>
        <w:commentReference w:id="117"/>
      </w:r>
    </w:p>
    <w:p w14:paraId="72DA29D9" w14:textId="71134439" w:rsidR="00666310" w:rsidRPr="00666310" w:rsidRDefault="00666310" w:rsidP="00666310">
      <w:pPr>
        <w:pStyle w:val="65ReferencesTextstylesTextstyles"/>
      </w:pPr>
      <w:r w:rsidRPr="00666310">
        <w:t>147.</w:t>
      </w:r>
      <w:r w:rsidR="004A3EB7">
        <w:tab/>
      </w:r>
      <w:r w:rsidR="00411DB7" w:rsidRPr="00666310">
        <w:t>Moore AJ, Gooberman-Hill R. Why don</w:t>
      </w:r>
      <w:r w:rsidR="004A3EB7" w:rsidRPr="004A3EB7">
        <w:t>’</w:t>
      </w:r>
      <w:r w:rsidR="00411DB7" w:rsidRPr="00666310">
        <w:t>t patients seek help for chronic post-surgical pain after knee replacement? A qualitative investigation. Health Expect. 2020;https://doi.org/10.1111/hex.13098:1202-12.</w:t>
      </w:r>
    </w:p>
    <w:p w14:paraId="0E46EB3A" w14:textId="61E7618F" w:rsidR="00666310" w:rsidRPr="00666310" w:rsidRDefault="00666310" w:rsidP="00666310">
      <w:pPr>
        <w:pStyle w:val="65ReferencesTextstylesTextstyles"/>
      </w:pPr>
      <w:r w:rsidRPr="00666310">
        <w:t>148.</w:t>
      </w:r>
      <w:r w:rsidR="004A3EB7">
        <w:tab/>
      </w:r>
      <w:r w:rsidR="00411DB7" w:rsidRPr="00666310">
        <w:t xml:space="preserve">Moore A, Eccleston C, Gooberman-Hill R. </w:t>
      </w:r>
      <w:r w:rsidR="004A3EB7" w:rsidRPr="004A3EB7">
        <w:t>‘</w:t>
      </w:r>
      <w:r w:rsidR="00411DB7" w:rsidRPr="00666310">
        <w:t>It</w:t>
      </w:r>
      <w:r w:rsidR="004A3EB7" w:rsidRPr="004A3EB7">
        <w:t>’</w:t>
      </w:r>
      <w:r w:rsidR="00411DB7" w:rsidRPr="00666310">
        <w:t>s not my knee</w:t>
      </w:r>
      <w:r w:rsidR="004A3EB7" w:rsidRPr="004A3EB7">
        <w:t>’</w:t>
      </w:r>
      <w:r w:rsidR="00411DB7" w:rsidRPr="00666310">
        <w:t xml:space="preserve"> – understanding ongoing pain and discomfort after total knee replacement through (re)embodiment. Arthritis Care Res. 2021; Accepted Author Manuscript. https://doi.org/10.1002/acr.24534.</w:t>
      </w:r>
    </w:p>
    <w:p w14:paraId="071D2A51" w14:textId="20E3835B" w:rsidR="00666310" w:rsidRPr="00666310" w:rsidRDefault="00666310" w:rsidP="00666310">
      <w:pPr>
        <w:pStyle w:val="65ReferencesTextstylesTextstyles"/>
      </w:pPr>
      <w:r w:rsidRPr="00666310">
        <w:t>149.</w:t>
      </w:r>
      <w:r w:rsidR="004A3EB7">
        <w:tab/>
      </w:r>
      <w:r w:rsidR="00411DB7" w:rsidRPr="00666310">
        <w:t xml:space="preserve">Sanders C, Donovan J, Dieppe P. The significance and consquences of having painful and disabled joints in older age: co-existing accounts of normal and disrupted biographies. Sociol </w:t>
      </w:r>
      <w:r w:rsidR="00411DB7" w:rsidRPr="00666310">
        <w:lastRenderedPageBreak/>
        <w:t>Health Illn. 2002;24(2):227-53.</w:t>
      </w:r>
    </w:p>
    <w:p w14:paraId="171D84E0" w14:textId="63DDD1CB" w:rsidR="00666310" w:rsidRPr="00666310" w:rsidRDefault="00666310" w:rsidP="00666310">
      <w:pPr>
        <w:pStyle w:val="65ReferencesTextstylesTextstyles"/>
      </w:pPr>
      <w:r w:rsidRPr="00666310">
        <w:t>150.</w:t>
      </w:r>
      <w:r w:rsidR="004A3EB7">
        <w:tab/>
      </w:r>
      <w:r w:rsidR="00411DB7" w:rsidRPr="00666310">
        <w:t>Smith BH, Penny KI, Elliott AM, Chambers WA, Smith WC. The Level of Expressed Need--a measure of help-seeking behaviour for chronic pain in the community. Eur J Pain. 2001;5(3):257-66.</w:t>
      </w:r>
    </w:p>
    <w:p w14:paraId="49EAC45F" w14:textId="0427784B" w:rsidR="00666310" w:rsidRPr="00666310" w:rsidRDefault="00666310" w:rsidP="00666310">
      <w:pPr>
        <w:pStyle w:val="65ReferencesTextstylesTextstyles"/>
      </w:pPr>
      <w:r w:rsidRPr="00666310">
        <w:t>151.</w:t>
      </w:r>
      <w:r w:rsidR="004A3EB7">
        <w:tab/>
      </w:r>
      <w:r w:rsidR="00411DB7" w:rsidRPr="00666310">
        <w:t>NVivo qualitative data analysis Software Version 10. QSR International Pty Ltd.; 2012.</w:t>
      </w:r>
    </w:p>
    <w:p w14:paraId="78882E53" w14:textId="3134ECBF" w:rsidR="004A3EB7" w:rsidRPr="004A3EB7" w:rsidRDefault="004A3EB7" w:rsidP="00666310">
      <w:pPr>
        <w:pStyle w:val="65ReferencesTextstylesTextstyles"/>
        <w:rPr>
          <w:highlight w:val="yellow"/>
        </w:rPr>
      </w:pPr>
      <w:commentRangeStart w:id="118"/>
      <w:r w:rsidRPr="004A3EB7">
        <w:rPr>
          <w:highlight w:val="yellow"/>
        </w:rPr>
        <w:t>152.</w:t>
      </w:r>
      <w:r w:rsidRPr="004A3EB7">
        <w:rPr>
          <w:highlight w:val="yellow"/>
        </w:rPr>
        <w:tab/>
        <w:t xml:space="preserve">Scott SE, Walter FM, Webster A, Sutton S, Emery J. The model of pathways to treatment: conceptualization and integration with existing theory. </w:t>
      </w:r>
      <w:r w:rsidRPr="004A3EB7">
        <w:rPr>
          <w:i/>
          <w:highlight w:val="yellow"/>
        </w:rPr>
        <w:t>Br J Health Psychol</w:t>
      </w:r>
      <w:r w:rsidRPr="004A3EB7">
        <w:rPr>
          <w:highlight w:val="yellow"/>
        </w:rPr>
        <w:t xml:space="preserve"> 2013;</w:t>
      </w:r>
      <w:r w:rsidRPr="004A3EB7">
        <w:rPr>
          <w:b/>
          <w:highlight w:val="yellow"/>
        </w:rPr>
        <w:t>18</w:t>
      </w:r>
      <w:r w:rsidRPr="004A3EB7">
        <w:rPr>
          <w:highlight w:val="yellow"/>
        </w:rPr>
        <w:t>:</w:t>
      </w:r>
      <w:r w:rsidRPr="004A3EB7">
        <w:rPr>
          <w:color w:val="auto"/>
          <w:highlight w:val="yellow"/>
        </w:rPr>
        <w:t>45</w:t>
      </w:r>
      <w:r w:rsidRPr="004A3EB7">
        <w:rPr>
          <w:color w:val="00B0F0"/>
          <w:highlight w:val="yellow"/>
        </w:rPr>
        <w:t>–</w:t>
      </w:r>
      <w:r w:rsidRPr="004A3EB7">
        <w:rPr>
          <w:color w:val="auto"/>
          <w:highlight w:val="yellow"/>
        </w:rPr>
        <w:t>65</w:t>
      </w:r>
      <w:r w:rsidRPr="004A3EB7">
        <w:rPr>
          <w:highlight w:val="yellow"/>
        </w:rPr>
        <w:t>. https://doi.org/10.1111/j.2044-8287.2012.02077.x</w:t>
      </w:r>
      <w:commentRangeEnd w:id="118"/>
      <w:r>
        <w:rPr>
          <w:rStyle w:val="CommentReference"/>
          <w:rFonts w:asciiTheme="minorHAnsi" w:eastAsiaTheme="minorHAnsi" w:hAnsiTheme="minorHAnsi" w:cstheme="minorBidi"/>
          <w:color w:val="auto"/>
        </w:rPr>
        <w:commentReference w:id="118"/>
      </w:r>
    </w:p>
    <w:p w14:paraId="7C0A0A7A" w14:textId="566B1DFF" w:rsidR="004A3EB7" w:rsidRPr="004A3EB7" w:rsidRDefault="004A3EB7" w:rsidP="00666310">
      <w:pPr>
        <w:pStyle w:val="65ReferencesTextstylesTextstyles"/>
        <w:rPr>
          <w:highlight w:val="yellow"/>
        </w:rPr>
      </w:pPr>
      <w:commentRangeStart w:id="119"/>
      <w:r w:rsidRPr="004A3EB7">
        <w:rPr>
          <w:highlight w:val="yellow"/>
        </w:rPr>
        <w:t>153.</w:t>
      </w:r>
      <w:r w:rsidRPr="004A3EB7">
        <w:rPr>
          <w:highlight w:val="yellow"/>
        </w:rPr>
        <w:tab/>
        <w:t xml:space="preserve">May C. Towards a general theory of implementation. </w:t>
      </w:r>
      <w:r w:rsidRPr="004A3EB7">
        <w:rPr>
          <w:i/>
          <w:highlight w:val="yellow"/>
        </w:rPr>
        <w:t>Implement Sci</w:t>
      </w:r>
      <w:r w:rsidRPr="004A3EB7">
        <w:rPr>
          <w:highlight w:val="yellow"/>
        </w:rPr>
        <w:t xml:space="preserve"> 2013;</w:t>
      </w:r>
      <w:r w:rsidRPr="004A3EB7">
        <w:rPr>
          <w:b/>
          <w:highlight w:val="yellow"/>
        </w:rPr>
        <w:t>8</w:t>
      </w:r>
      <w:r w:rsidRPr="004A3EB7">
        <w:rPr>
          <w:highlight w:val="yellow"/>
        </w:rPr>
        <w:t>:</w:t>
      </w:r>
      <w:r w:rsidRPr="004A3EB7">
        <w:rPr>
          <w:color w:val="auto"/>
          <w:highlight w:val="yellow"/>
        </w:rPr>
        <w:t>18</w:t>
      </w:r>
      <w:r w:rsidRPr="004A3EB7">
        <w:rPr>
          <w:highlight w:val="yellow"/>
        </w:rPr>
        <w:t>. https://doi.org/10.1186/1748-5908-8-18</w:t>
      </w:r>
      <w:commentRangeEnd w:id="119"/>
      <w:r>
        <w:rPr>
          <w:rStyle w:val="CommentReference"/>
          <w:rFonts w:asciiTheme="minorHAnsi" w:eastAsiaTheme="minorHAnsi" w:hAnsiTheme="minorHAnsi" w:cstheme="minorBidi"/>
          <w:color w:val="auto"/>
        </w:rPr>
        <w:commentReference w:id="119"/>
      </w:r>
    </w:p>
    <w:p w14:paraId="5678EEDC" w14:textId="666AABD5" w:rsidR="004A3EB7" w:rsidRPr="004A3EB7" w:rsidRDefault="004A3EB7" w:rsidP="00666310">
      <w:pPr>
        <w:pStyle w:val="65ReferencesTextstylesTextstyles"/>
        <w:rPr>
          <w:highlight w:val="yellow"/>
        </w:rPr>
      </w:pPr>
      <w:commentRangeStart w:id="120"/>
      <w:r w:rsidRPr="004A3EB7">
        <w:rPr>
          <w:highlight w:val="yellow"/>
        </w:rPr>
        <w:t>154.</w:t>
      </w:r>
      <w:r w:rsidRPr="004A3EB7">
        <w:rPr>
          <w:highlight w:val="yellow"/>
        </w:rPr>
        <w:tab/>
        <w:t xml:space="preserve">Peters DH, Adam T, Alonge O, Agyepong IA, Tran N. Implementation research: what it is and how to do it. </w:t>
      </w:r>
      <w:r w:rsidRPr="004A3EB7">
        <w:rPr>
          <w:i/>
          <w:highlight w:val="yellow"/>
        </w:rPr>
        <w:t>BMJ</w:t>
      </w:r>
      <w:r w:rsidRPr="004A3EB7">
        <w:rPr>
          <w:highlight w:val="yellow"/>
        </w:rPr>
        <w:t xml:space="preserve"> 2013;</w:t>
      </w:r>
      <w:r w:rsidRPr="004A3EB7">
        <w:rPr>
          <w:b/>
          <w:highlight w:val="yellow"/>
        </w:rPr>
        <w:t>347</w:t>
      </w:r>
      <w:r w:rsidRPr="004A3EB7">
        <w:rPr>
          <w:highlight w:val="yellow"/>
        </w:rPr>
        <w:t>:</w:t>
      </w:r>
      <w:r w:rsidRPr="004A3EB7">
        <w:rPr>
          <w:color w:val="auto"/>
          <w:highlight w:val="yellow"/>
        </w:rPr>
        <w:t>f6753</w:t>
      </w:r>
      <w:r w:rsidRPr="004A3EB7">
        <w:rPr>
          <w:highlight w:val="yellow"/>
        </w:rPr>
        <w:t>. https://doi.org/10.1136/bmj.f6753</w:t>
      </w:r>
      <w:commentRangeEnd w:id="120"/>
      <w:r>
        <w:rPr>
          <w:rStyle w:val="CommentReference"/>
          <w:rFonts w:asciiTheme="minorHAnsi" w:eastAsiaTheme="minorHAnsi" w:hAnsiTheme="minorHAnsi" w:cstheme="minorBidi"/>
          <w:color w:val="auto"/>
        </w:rPr>
        <w:commentReference w:id="120"/>
      </w:r>
    </w:p>
    <w:p w14:paraId="5C7C74C7" w14:textId="254EEF4F" w:rsidR="004A3EB7" w:rsidRPr="004A3EB7" w:rsidRDefault="004A3EB7" w:rsidP="00666310">
      <w:pPr>
        <w:pStyle w:val="65ReferencesTextstylesTextstyles"/>
        <w:rPr>
          <w:highlight w:val="yellow"/>
        </w:rPr>
      </w:pPr>
      <w:commentRangeStart w:id="121"/>
      <w:r w:rsidRPr="004A3EB7">
        <w:rPr>
          <w:highlight w:val="yellow"/>
        </w:rPr>
        <w:t>155.</w:t>
      </w:r>
      <w:r w:rsidRPr="004A3EB7">
        <w:rPr>
          <w:highlight w:val="yellow"/>
        </w:rPr>
        <w:tab/>
        <w:t xml:space="preserve">McEvoy R, Ballini L, Maltoni S, O’Donnell CA, Mair FS, Macfarlane A. A qualitative systematic review of studies using the normalization process theory to research implementation processes. </w:t>
      </w:r>
      <w:r w:rsidRPr="004A3EB7">
        <w:rPr>
          <w:i/>
          <w:highlight w:val="yellow"/>
        </w:rPr>
        <w:t>Implement Sci</w:t>
      </w:r>
      <w:r w:rsidRPr="004A3EB7">
        <w:rPr>
          <w:highlight w:val="yellow"/>
        </w:rPr>
        <w:t xml:space="preserve"> 2014;</w:t>
      </w:r>
      <w:r w:rsidRPr="004A3EB7">
        <w:rPr>
          <w:b/>
          <w:highlight w:val="yellow"/>
        </w:rPr>
        <w:t>9</w:t>
      </w:r>
      <w:r w:rsidRPr="004A3EB7">
        <w:rPr>
          <w:highlight w:val="yellow"/>
        </w:rPr>
        <w:t>:</w:t>
      </w:r>
      <w:r w:rsidRPr="004A3EB7">
        <w:rPr>
          <w:color w:val="auto"/>
          <w:highlight w:val="yellow"/>
        </w:rPr>
        <w:t>2</w:t>
      </w:r>
      <w:r w:rsidRPr="004A3EB7">
        <w:rPr>
          <w:highlight w:val="yellow"/>
        </w:rPr>
        <w:t>. https://doi.org/10.1186/1748-5908-9-2</w:t>
      </w:r>
      <w:commentRangeEnd w:id="121"/>
      <w:r>
        <w:rPr>
          <w:rStyle w:val="CommentReference"/>
          <w:rFonts w:asciiTheme="minorHAnsi" w:eastAsiaTheme="minorHAnsi" w:hAnsiTheme="minorHAnsi" w:cstheme="minorBidi"/>
          <w:color w:val="auto"/>
        </w:rPr>
        <w:commentReference w:id="121"/>
      </w:r>
    </w:p>
    <w:p w14:paraId="71F83A82" w14:textId="603F76E0" w:rsidR="004A3EB7" w:rsidRPr="004A3EB7" w:rsidRDefault="004A3EB7" w:rsidP="00666310">
      <w:pPr>
        <w:pStyle w:val="65ReferencesTextstylesTextstyles"/>
        <w:rPr>
          <w:highlight w:val="yellow"/>
        </w:rPr>
      </w:pPr>
      <w:commentRangeStart w:id="122"/>
      <w:commentRangeStart w:id="123"/>
      <w:r w:rsidRPr="004A3EB7">
        <w:rPr>
          <w:highlight w:val="yellow"/>
        </w:rPr>
        <w:t>156.</w:t>
      </w:r>
      <w:r w:rsidRPr="004A3EB7">
        <w:rPr>
          <w:highlight w:val="yellow"/>
        </w:rPr>
        <w:tab/>
        <w:t xml:space="preserve">Elo S, Kyngäs H. The qualitative content analysis process. </w:t>
      </w:r>
      <w:r w:rsidRPr="004A3EB7">
        <w:rPr>
          <w:i/>
          <w:highlight w:val="yellow"/>
        </w:rPr>
        <w:t>J Adv Nurs</w:t>
      </w:r>
      <w:r w:rsidRPr="004A3EB7">
        <w:rPr>
          <w:highlight w:val="yellow"/>
        </w:rPr>
        <w:t xml:space="preserve"> 2008;</w:t>
      </w:r>
      <w:r w:rsidRPr="004A3EB7">
        <w:rPr>
          <w:b/>
          <w:highlight w:val="yellow"/>
        </w:rPr>
        <w:t>62</w:t>
      </w:r>
      <w:r w:rsidRPr="004A3EB7">
        <w:rPr>
          <w:highlight w:val="yellow"/>
        </w:rPr>
        <w:t>:</w:t>
      </w:r>
      <w:r w:rsidRPr="004A3EB7">
        <w:rPr>
          <w:color w:val="auto"/>
          <w:highlight w:val="yellow"/>
        </w:rPr>
        <w:t>107</w:t>
      </w:r>
      <w:r w:rsidRPr="004A3EB7">
        <w:rPr>
          <w:color w:val="00B0F0"/>
          <w:highlight w:val="yellow"/>
        </w:rPr>
        <w:t>–</w:t>
      </w:r>
      <w:r w:rsidRPr="004A3EB7">
        <w:rPr>
          <w:color w:val="auto"/>
          <w:highlight w:val="yellow"/>
        </w:rPr>
        <w:t>15</w:t>
      </w:r>
      <w:r w:rsidRPr="004A3EB7">
        <w:rPr>
          <w:highlight w:val="yellow"/>
        </w:rPr>
        <w:t>. https://doi.org/10.1111/j.1365-2648.2007.04569.x</w:t>
      </w:r>
      <w:commentRangeEnd w:id="122"/>
      <w:r>
        <w:rPr>
          <w:rStyle w:val="CommentReference"/>
          <w:rFonts w:asciiTheme="minorHAnsi" w:eastAsiaTheme="minorHAnsi" w:hAnsiTheme="minorHAnsi" w:cstheme="minorBidi"/>
          <w:color w:val="auto"/>
        </w:rPr>
        <w:commentReference w:id="122"/>
      </w:r>
      <w:commentRangeEnd w:id="123"/>
      <w:r>
        <w:rPr>
          <w:rStyle w:val="CommentReference"/>
          <w:rFonts w:asciiTheme="minorHAnsi" w:eastAsiaTheme="minorHAnsi" w:hAnsiTheme="minorHAnsi" w:cstheme="minorBidi"/>
          <w:color w:val="auto"/>
        </w:rPr>
        <w:commentReference w:id="123"/>
      </w:r>
    </w:p>
    <w:p w14:paraId="7E026BF8" w14:textId="700FC75E" w:rsidR="00666310" w:rsidRPr="00666310" w:rsidRDefault="00666310" w:rsidP="00666310">
      <w:pPr>
        <w:pStyle w:val="65ReferencesTextstylesTextstyles"/>
      </w:pPr>
      <w:r w:rsidRPr="00666310">
        <w:t>157.</w:t>
      </w:r>
      <w:r w:rsidR="004A3EB7">
        <w:tab/>
      </w:r>
      <w:r w:rsidR="00411DB7" w:rsidRPr="00666310">
        <w:t>Guide to methods of technology appraisal. London: NICE; 2013.</w:t>
      </w:r>
    </w:p>
    <w:p w14:paraId="63F29A5E" w14:textId="7DC04CA8" w:rsidR="004A3EB7" w:rsidRPr="004A3EB7" w:rsidRDefault="004A3EB7" w:rsidP="00666310">
      <w:pPr>
        <w:pStyle w:val="65ReferencesTextstylesTextstyles"/>
        <w:rPr>
          <w:highlight w:val="yellow"/>
        </w:rPr>
      </w:pPr>
      <w:commentRangeStart w:id="124"/>
      <w:r w:rsidRPr="004A3EB7">
        <w:rPr>
          <w:highlight w:val="yellow"/>
        </w:rPr>
        <w:t>158.</w:t>
      </w:r>
      <w:r w:rsidRPr="004A3EB7">
        <w:rPr>
          <w:highlight w:val="yellow"/>
        </w:rPr>
        <w:tab/>
        <w:t xml:space="preserve">Manca A, Hawkins N, Sculpher MJ. Estimating mean QALYs in trial-based cost-effectiveness analysis: the importance of controlling for baseline utility. </w:t>
      </w:r>
      <w:r w:rsidRPr="004A3EB7">
        <w:rPr>
          <w:i/>
          <w:highlight w:val="yellow"/>
        </w:rPr>
        <w:t>Health Econ</w:t>
      </w:r>
      <w:r w:rsidRPr="004A3EB7">
        <w:rPr>
          <w:highlight w:val="yellow"/>
        </w:rPr>
        <w:t xml:space="preserve"> 2005;</w:t>
      </w:r>
      <w:r w:rsidRPr="004A3EB7">
        <w:rPr>
          <w:b/>
          <w:highlight w:val="yellow"/>
        </w:rPr>
        <w:t>14</w:t>
      </w:r>
      <w:r w:rsidRPr="004A3EB7">
        <w:rPr>
          <w:highlight w:val="yellow"/>
        </w:rPr>
        <w:t>:</w:t>
      </w:r>
      <w:r w:rsidRPr="004A3EB7">
        <w:rPr>
          <w:color w:val="auto"/>
          <w:highlight w:val="yellow"/>
        </w:rPr>
        <w:t>487</w:t>
      </w:r>
      <w:r w:rsidRPr="004A3EB7">
        <w:rPr>
          <w:color w:val="00B0F0"/>
          <w:highlight w:val="yellow"/>
        </w:rPr>
        <w:t>–</w:t>
      </w:r>
      <w:r w:rsidRPr="004A3EB7">
        <w:rPr>
          <w:color w:val="auto"/>
          <w:highlight w:val="yellow"/>
        </w:rPr>
        <w:t>96</w:t>
      </w:r>
      <w:r w:rsidRPr="004A3EB7">
        <w:rPr>
          <w:highlight w:val="yellow"/>
        </w:rPr>
        <w:t>. https://doi.org/10.1002/hec.944</w:t>
      </w:r>
      <w:commentRangeEnd w:id="124"/>
      <w:r>
        <w:rPr>
          <w:rStyle w:val="CommentReference"/>
          <w:rFonts w:asciiTheme="minorHAnsi" w:eastAsiaTheme="minorHAnsi" w:hAnsiTheme="minorHAnsi" w:cstheme="minorBidi"/>
          <w:color w:val="auto"/>
        </w:rPr>
        <w:commentReference w:id="124"/>
      </w:r>
    </w:p>
    <w:p w14:paraId="5CE27729" w14:textId="5549CEB4" w:rsidR="004A3EB7" w:rsidRPr="004A3EB7" w:rsidRDefault="004A3EB7" w:rsidP="00666310">
      <w:pPr>
        <w:pStyle w:val="65ReferencesTextstylesTextstyles"/>
        <w:rPr>
          <w:highlight w:val="yellow"/>
        </w:rPr>
      </w:pPr>
      <w:commentRangeStart w:id="125"/>
      <w:r w:rsidRPr="004A3EB7">
        <w:rPr>
          <w:highlight w:val="yellow"/>
        </w:rPr>
        <w:t>159.</w:t>
      </w:r>
      <w:r w:rsidRPr="004A3EB7">
        <w:rPr>
          <w:highlight w:val="yellow"/>
        </w:rPr>
        <w:tab/>
        <w:t xml:space="preserve">Kiran A, Bottomley N, Biant LC, Javaid MK, Carr AJ, Cooper C, </w:t>
      </w:r>
      <w:r w:rsidRPr="004A3EB7">
        <w:rPr>
          <w:i/>
          <w:highlight w:val="yellow"/>
        </w:rPr>
        <w:t>et al</w:t>
      </w:r>
      <w:r w:rsidRPr="004A3EB7">
        <w:rPr>
          <w:highlight w:val="yellow"/>
        </w:rPr>
        <w:t xml:space="preserve">. Variations In Good Patient Reported Outcomes After Total Knee Arthroplasty. </w:t>
      </w:r>
      <w:r w:rsidRPr="004A3EB7">
        <w:rPr>
          <w:i/>
          <w:highlight w:val="yellow"/>
        </w:rPr>
        <w:t>J Arthroplasty</w:t>
      </w:r>
      <w:r w:rsidRPr="004A3EB7">
        <w:rPr>
          <w:highlight w:val="yellow"/>
        </w:rPr>
        <w:t xml:space="preserve"> 2015;</w:t>
      </w:r>
      <w:r w:rsidRPr="004A3EB7">
        <w:rPr>
          <w:b/>
          <w:highlight w:val="yellow"/>
        </w:rPr>
        <w:t>30</w:t>
      </w:r>
      <w:r w:rsidRPr="004A3EB7">
        <w:rPr>
          <w:highlight w:val="yellow"/>
        </w:rPr>
        <w:t>:</w:t>
      </w:r>
      <w:r w:rsidRPr="004A3EB7">
        <w:rPr>
          <w:color w:val="auto"/>
          <w:highlight w:val="yellow"/>
        </w:rPr>
        <w:t>1364</w:t>
      </w:r>
      <w:r w:rsidRPr="004A3EB7">
        <w:rPr>
          <w:color w:val="00B0F0"/>
          <w:highlight w:val="yellow"/>
        </w:rPr>
        <w:t>–</w:t>
      </w:r>
      <w:r w:rsidRPr="004A3EB7">
        <w:rPr>
          <w:color w:val="auto"/>
          <w:highlight w:val="yellow"/>
        </w:rPr>
        <w:t>71</w:t>
      </w:r>
      <w:r w:rsidRPr="004A3EB7">
        <w:rPr>
          <w:highlight w:val="yellow"/>
        </w:rPr>
        <w:t>. https://doi.org/10.1016/j.arth.2015.02.039</w:t>
      </w:r>
      <w:commentRangeEnd w:id="125"/>
      <w:r>
        <w:rPr>
          <w:rStyle w:val="CommentReference"/>
          <w:rFonts w:asciiTheme="minorHAnsi" w:eastAsiaTheme="minorHAnsi" w:hAnsiTheme="minorHAnsi" w:cstheme="minorBidi"/>
          <w:color w:val="auto"/>
        </w:rPr>
        <w:commentReference w:id="125"/>
      </w:r>
    </w:p>
    <w:p w14:paraId="42F4E5D4" w14:textId="0B8BAB08" w:rsidR="004A3EB7" w:rsidRPr="004A3EB7" w:rsidRDefault="004A3EB7" w:rsidP="00666310">
      <w:pPr>
        <w:pStyle w:val="65ReferencesTextstylesTextstyles"/>
        <w:rPr>
          <w:highlight w:val="yellow"/>
        </w:rPr>
      </w:pPr>
      <w:commentRangeStart w:id="126"/>
      <w:r w:rsidRPr="004A3EB7">
        <w:rPr>
          <w:highlight w:val="yellow"/>
        </w:rPr>
        <w:t>160.</w:t>
      </w:r>
      <w:r w:rsidRPr="004A3EB7">
        <w:rPr>
          <w:highlight w:val="yellow"/>
        </w:rPr>
        <w:tab/>
        <w:t xml:space="preserve">Kang S. Assessing responsiveness of the EQ-5D-3L, the Oxford Hip Score, and the Oxford Knee Score in the NHS patient-reported outcome measures. </w:t>
      </w:r>
      <w:r w:rsidRPr="004A3EB7">
        <w:rPr>
          <w:i/>
          <w:highlight w:val="yellow"/>
        </w:rPr>
        <w:t>J Orthop Surg Res</w:t>
      </w:r>
      <w:r w:rsidRPr="004A3EB7">
        <w:rPr>
          <w:highlight w:val="yellow"/>
        </w:rPr>
        <w:t xml:space="preserve"> 2021;</w:t>
      </w:r>
      <w:r w:rsidRPr="004A3EB7">
        <w:rPr>
          <w:b/>
          <w:highlight w:val="yellow"/>
        </w:rPr>
        <w:t>16</w:t>
      </w:r>
      <w:r w:rsidRPr="004A3EB7">
        <w:rPr>
          <w:highlight w:val="yellow"/>
        </w:rPr>
        <w:t>:</w:t>
      </w:r>
      <w:r w:rsidRPr="004A3EB7">
        <w:rPr>
          <w:color w:val="auto"/>
          <w:highlight w:val="yellow"/>
        </w:rPr>
        <w:t>18</w:t>
      </w:r>
      <w:r w:rsidRPr="004A3EB7">
        <w:rPr>
          <w:highlight w:val="yellow"/>
        </w:rPr>
        <w:t>. https://doi.org/10.1186/s13018-020-02126-2</w:t>
      </w:r>
      <w:commentRangeEnd w:id="126"/>
      <w:r>
        <w:rPr>
          <w:rStyle w:val="CommentReference"/>
          <w:rFonts w:asciiTheme="minorHAnsi" w:eastAsiaTheme="minorHAnsi" w:hAnsiTheme="minorHAnsi" w:cstheme="minorBidi"/>
          <w:color w:val="auto"/>
        </w:rPr>
        <w:commentReference w:id="126"/>
      </w:r>
    </w:p>
    <w:p w14:paraId="3B001FD7" w14:textId="113C3135" w:rsidR="00666310" w:rsidRPr="00666310" w:rsidRDefault="00666310" w:rsidP="00666310">
      <w:pPr>
        <w:pStyle w:val="65ReferencesTextstylesTextstyles"/>
      </w:pPr>
      <w:r w:rsidRPr="00666310">
        <w:t>161.</w:t>
      </w:r>
      <w:r w:rsidR="004A3EB7">
        <w:tab/>
      </w:r>
      <w:r w:rsidR="00411DB7" w:rsidRPr="00666310">
        <w:t>May C, Finch T. Implementing, embedding, and integrating practices: An outline of normalization process theory. Sociology. 2009;43(3):535-54.</w:t>
      </w:r>
    </w:p>
    <w:p w14:paraId="527DE040" w14:textId="082D0B01" w:rsidR="004A3EB7" w:rsidRPr="004A3EB7" w:rsidRDefault="004A3EB7" w:rsidP="00666310">
      <w:pPr>
        <w:pStyle w:val="65ReferencesTextstylesTextstyles"/>
        <w:rPr>
          <w:highlight w:val="yellow"/>
        </w:rPr>
      </w:pPr>
      <w:commentRangeStart w:id="127"/>
      <w:r w:rsidRPr="004A3EB7">
        <w:rPr>
          <w:highlight w:val="yellow"/>
        </w:rPr>
        <w:t>162.</w:t>
      </w:r>
      <w:r w:rsidRPr="004A3EB7">
        <w:rPr>
          <w:highlight w:val="yellow"/>
        </w:rPr>
        <w:tab/>
        <w:t xml:space="preserve">May CR, Mair F, Finch T, MacFarlane A, Dowrick C, Treweek S, </w:t>
      </w:r>
      <w:r w:rsidRPr="004A3EB7">
        <w:rPr>
          <w:i/>
          <w:highlight w:val="yellow"/>
        </w:rPr>
        <w:t>et al</w:t>
      </w:r>
      <w:r w:rsidRPr="004A3EB7">
        <w:rPr>
          <w:highlight w:val="yellow"/>
        </w:rPr>
        <w:t xml:space="preserve">. Development of a theory of implementation and integration: Normalization Process Theory. </w:t>
      </w:r>
      <w:r w:rsidRPr="004A3EB7">
        <w:rPr>
          <w:i/>
          <w:highlight w:val="yellow"/>
        </w:rPr>
        <w:t>Implement Sci</w:t>
      </w:r>
      <w:r w:rsidRPr="004A3EB7">
        <w:rPr>
          <w:highlight w:val="yellow"/>
        </w:rPr>
        <w:t xml:space="preserve"> 2009;</w:t>
      </w:r>
      <w:r w:rsidRPr="004A3EB7">
        <w:rPr>
          <w:b/>
          <w:highlight w:val="yellow"/>
        </w:rPr>
        <w:t>4</w:t>
      </w:r>
      <w:r w:rsidRPr="004A3EB7">
        <w:rPr>
          <w:highlight w:val="yellow"/>
        </w:rPr>
        <w:t>:</w:t>
      </w:r>
      <w:r w:rsidRPr="004A3EB7">
        <w:rPr>
          <w:color w:val="auto"/>
          <w:highlight w:val="yellow"/>
        </w:rPr>
        <w:t>29</w:t>
      </w:r>
      <w:r w:rsidRPr="004A3EB7">
        <w:rPr>
          <w:highlight w:val="yellow"/>
        </w:rPr>
        <w:t>. https://doi.org/10.1186/1748-5908-4-29</w:t>
      </w:r>
      <w:commentRangeEnd w:id="127"/>
      <w:r>
        <w:rPr>
          <w:rStyle w:val="CommentReference"/>
          <w:rFonts w:asciiTheme="minorHAnsi" w:eastAsiaTheme="minorHAnsi" w:hAnsiTheme="minorHAnsi" w:cstheme="minorBidi"/>
          <w:color w:val="auto"/>
        </w:rPr>
        <w:commentReference w:id="127"/>
      </w:r>
    </w:p>
    <w:p w14:paraId="3BF48013" w14:textId="430BE893" w:rsidR="004A3EB7" w:rsidRPr="004A3EB7" w:rsidRDefault="004A3EB7" w:rsidP="00666310">
      <w:pPr>
        <w:pStyle w:val="65ReferencesTextstylesTextstyles"/>
        <w:rPr>
          <w:highlight w:val="yellow"/>
        </w:rPr>
      </w:pPr>
      <w:commentRangeStart w:id="128"/>
      <w:r w:rsidRPr="004A3EB7">
        <w:rPr>
          <w:highlight w:val="yellow"/>
        </w:rPr>
        <w:t>163.</w:t>
      </w:r>
      <w:r w:rsidRPr="004A3EB7">
        <w:rPr>
          <w:highlight w:val="yellow"/>
        </w:rPr>
        <w:tab/>
        <w:t xml:space="preserve">Murray E, Treweek S, Pope C, MacFarlane A, Ballini L, Dowrick C, </w:t>
      </w:r>
      <w:r w:rsidRPr="004A3EB7">
        <w:rPr>
          <w:i/>
          <w:highlight w:val="yellow"/>
        </w:rPr>
        <w:t>et al</w:t>
      </w:r>
      <w:r w:rsidRPr="004A3EB7">
        <w:rPr>
          <w:highlight w:val="yellow"/>
        </w:rPr>
        <w:t xml:space="preserve">. Normalisation process theory: a framework for developing, evaluating and implementing complex interventions. </w:t>
      </w:r>
      <w:r w:rsidRPr="004A3EB7">
        <w:rPr>
          <w:i/>
          <w:highlight w:val="yellow"/>
        </w:rPr>
        <w:t>BMC Med</w:t>
      </w:r>
      <w:r w:rsidRPr="004A3EB7">
        <w:rPr>
          <w:highlight w:val="yellow"/>
        </w:rPr>
        <w:t xml:space="preserve"> 2010;</w:t>
      </w:r>
      <w:r w:rsidRPr="004A3EB7">
        <w:rPr>
          <w:b/>
          <w:highlight w:val="yellow"/>
        </w:rPr>
        <w:t>8</w:t>
      </w:r>
      <w:r w:rsidRPr="004A3EB7">
        <w:rPr>
          <w:highlight w:val="yellow"/>
        </w:rPr>
        <w:t>:</w:t>
      </w:r>
      <w:r w:rsidRPr="004A3EB7">
        <w:rPr>
          <w:color w:val="auto"/>
          <w:highlight w:val="yellow"/>
        </w:rPr>
        <w:t>63</w:t>
      </w:r>
      <w:r w:rsidRPr="004A3EB7">
        <w:rPr>
          <w:highlight w:val="yellow"/>
        </w:rPr>
        <w:t>. https://doi.org/10.1186/1741-7015-8-63</w:t>
      </w:r>
      <w:commentRangeEnd w:id="128"/>
      <w:r>
        <w:rPr>
          <w:rStyle w:val="CommentReference"/>
          <w:rFonts w:asciiTheme="minorHAnsi" w:eastAsiaTheme="minorHAnsi" w:hAnsiTheme="minorHAnsi" w:cstheme="minorBidi"/>
          <w:color w:val="auto"/>
        </w:rPr>
        <w:commentReference w:id="128"/>
      </w:r>
    </w:p>
    <w:p w14:paraId="586FC32A" w14:textId="3AE6269F" w:rsidR="004A3EB7" w:rsidRPr="004A3EB7" w:rsidRDefault="004A3EB7" w:rsidP="00666310">
      <w:pPr>
        <w:pStyle w:val="65ReferencesTextstylesTextstyles"/>
        <w:rPr>
          <w:highlight w:val="yellow"/>
        </w:rPr>
      </w:pPr>
      <w:commentRangeStart w:id="129"/>
      <w:r w:rsidRPr="004A3EB7">
        <w:rPr>
          <w:highlight w:val="yellow"/>
        </w:rPr>
        <w:t>164.</w:t>
      </w:r>
      <w:r w:rsidRPr="004A3EB7">
        <w:rPr>
          <w:highlight w:val="yellow"/>
        </w:rPr>
        <w:tab/>
        <w:t xml:space="preserve">Allen KD, Bierma-Zeinstra SM, Foster NE, Golightly YM, Hawker G. OARSI Clinical Trials Recommendations: Design and conduct of implementation trials of interventions for osteoarthritis. </w:t>
      </w:r>
      <w:r w:rsidRPr="004A3EB7">
        <w:rPr>
          <w:i/>
          <w:highlight w:val="yellow"/>
        </w:rPr>
        <w:t>Osteoarthritis Cartilage</w:t>
      </w:r>
      <w:r w:rsidRPr="004A3EB7">
        <w:rPr>
          <w:highlight w:val="yellow"/>
        </w:rPr>
        <w:t xml:space="preserve"> 2015;</w:t>
      </w:r>
      <w:r w:rsidRPr="004A3EB7">
        <w:rPr>
          <w:b/>
          <w:highlight w:val="yellow"/>
        </w:rPr>
        <w:t>23</w:t>
      </w:r>
      <w:r w:rsidRPr="004A3EB7">
        <w:rPr>
          <w:highlight w:val="yellow"/>
        </w:rPr>
        <w:t>:</w:t>
      </w:r>
      <w:r w:rsidRPr="004A3EB7">
        <w:rPr>
          <w:color w:val="auto"/>
          <w:highlight w:val="yellow"/>
        </w:rPr>
        <w:t>826</w:t>
      </w:r>
      <w:r w:rsidRPr="004A3EB7">
        <w:rPr>
          <w:color w:val="00B0F0"/>
          <w:highlight w:val="yellow"/>
        </w:rPr>
        <w:t>–</w:t>
      </w:r>
      <w:r w:rsidRPr="004A3EB7">
        <w:rPr>
          <w:color w:val="auto"/>
          <w:highlight w:val="yellow"/>
        </w:rPr>
        <w:t>38</w:t>
      </w:r>
      <w:r w:rsidRPr="004A3EB7">
        <w:rPr>
          <w:highlight w:val="yellow"/>
        </w:rPr>
        <w:t>. https://doi.org/10.1016/j.joca.2015.02.772</w:t>
      </w:r>
      <w:commentRangeEnd w:id="129"/>
      <w:r>
        <w:rPr>
          <w:rStyle w:val="CommentReference"/>
          <w:rFonts w:asciiTheme="minorHAnsi" w:eastAsiaTheme="minorHAnsi" w:hAnsiTheme="minorHAnsi" w:cstheme="minorBidi"/>
          <w:color w:val="auto"/>
        </w:rPr>
        <w:commentReference w:id="129"/>
      </w:r>
    </w:p>
    <w:p w14:paraId="14C34A6D" w14:textId="001C4AD7" w:rsidR="00CE2C4D" w:rsidRPr="00666310" w:rsidRDefault="00CE2C4D" w:rsidP="00666310">
      <w:pPr>
        <w:pStyle w:val="65ReferencesTextstylesTextstyles"/>
      </w:pPr>
    </w:p>
    <w:sectPr w:rsidR="00CE2C4D" w:rsidRPr="00666310">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Norman" w:date="2022-08-25T14:28:00Z" w:initials="RM">
    <w:p w14:paraId="0C231E93" w14:textId="77777777" w:rsidR="00666310" w:rsidRDefault="00666310">
      <w:pPr>
        <w:pStyle w:val="CommentText"/>
      </w:pPr>
      <w:r>
        <w:rPr>
          <w:rStyle w:val="CommentReference"/>
        </w:rPr>
        <w:annotationRef/>
      </w:r>
      <w:r>
        <w:t>This was originally:</w:t>
      </w:r>
    </w:p>
    <w:p w14:paraId="69730C9C" w14:textId="1C7604E9" w:rsidR="00666310" w:rsidRDefault="00666310">
      <w:pPr>
        <w:pStyle w:val="CommentText"/>
      </w:pPr>
      <w:r>
        <w:t>1.</w:t>
      </w:r>
      <w:r w:rsidR="004A3EB7" w:rsidRPr="004A3EB7">
        <w:tab/>
      </w:r>
      <w:r>
        <w:t>Swain S, Sarmanova A, Mallen C, Kuo CF, Coupland C, Doherty M, et al. Trends in incidence and prevalence of osteoarthritis in the United Kingdom: findings from the Clinical Practice Research Datalink (CPRD). Osteoarthritis Cartilage. 2020;28(6):792-801.</w:t>
      </w:r>
    </w:p>
    <w:p w14:paraId="04E5D6B5" w14:textId="75055AA3" w:rsidR="00666310" w:rsidRDefault="00666310">
      <w:pPr>
        <w:pStyle w:val="CommentText"/>
      </w:pPr>
    </w:p>
  </w:comment>
  <w:comment w:id="2" w:author="Norman" w:date="2022-08-25T14:28:00Z" w:initials="RM">
    <w:p w14:paraId="70DE0559" w14:textId="77777777" w:rsidR="00666310" w:rsidRDefault="00666310">
      <w:pPr>
        <w:pStyle w:val="CommentText"/>
      </w:pPr>
      <w:r>
        <w:rPr>
          <w:rStyle w:val="CommentReference"/>
        </w:rPr>
        <w:annotationRef/>
      </w:r>
      <w:r>
        <w:t>This was originally:</w:t>
      </w:r>
    </w:p>
    <w:p w14:paraId="37B0FFB9" w14:textId="0648F494" w:rsidR="00666310" w:rsidRDefault="00666310">
      <w:pPr>
        <w:pStyle w:val="CommentText"/>
      </w:pPr>
      <w:r>
        <w:t>2.</w:t>
      </w:r>
      <w:r w:rsidR="004A3EB7" w:rsidRPr="004A3EB7">
        <w:tab/>
      </w:r>
      <w:r>
        <w:t>Barbour KE, Moss S, Croft JB, Helmick CG, Theis KA, Brady TJ, et al. Geographic variations in arthritis prevalence, health-related characteristics, and management — United States, 2015. MMWR Surveill Summ. 2018;67(No. 55-4):1-28.</w:t>
      </w:r>
    </w:p>
    <w:p w14:paraId="6E05D953" w14:textId="1D433E12" w:rsidR="00666310" w:rsidRDefault="00666310">
      <w:pPr>
        <w:pStyle w:val="CommentText"/>
      </w:pPr>
    </w:p>
  </w:comment>
  <w:comment w:id="3" w:author="Norman" w:date="2022-08-25T14:28:00Z" w:initials="RM">
    <w:p w14:paraId="47664C61" w14:textId="77777777" w:rsidR="00666310" w:rsidRDefault="00666310">
      <w:pPr>
        <w:pStyle w:val="CommentText"/>
      </w:pPr>
      <w:r>
        <w:rPr>
          <w:rStyle w:val="CommentReference"/>
        </w:rPr>
        <w:annotationRef/>
      </w:r>
      <w:r>
        <w:t>This was originally:</w:t>
      </w:r>
    </w:p>
    <w:p w14:paraId="50EB53DD" w14:textId="7C68239F" w:rsidR="00666310" w:rsidRDefault="00666310">
      <w:pPr>
        <w:pStyle w:val="CommentText"/>
      </w:pPr>
      <w:r>
        <w:t>3.</w:t>
      </w:r>
      <w:r w:rsidR="004A3EB7" w:rsidRPr="004A3EB7">
        <w:tab/>
      </w:r>
      <w:r>
        <w:t>Pereira D, Peleteiro B, Araújo J, Branco J, Santos RA, Ramos E. The effect of osteoarthritis definition on prevalence and incidence estimates: a systematic review. Osteoarthritis Cartilage. 2011;19(11):1270-85.</w:t>
      </w:r>
    </w:p>
    <w:p w14:paraId="7877DC02" w14:textId="3A8D11A9" w:rsidR="00666310" w:rsidRDefault="00666310">
      <w:pPr>
        <w:pStyle w:val="CommentText"/>
      </w:pPr>
    </w:p>
  </w:comment>
  <w:comment w:id="4" w:author="Norman" w:date="2022-08-25T14:28:00Z" w:initials="RM">
    <w:p w14:paraId="53F7F722" w14:textId="77777777" w:rsidR="00666310" w:rsidRDefault="00666310">
      <w:pPr>
        <w:pStyle w:val="CommentText"/>
      </w:pPr>
      <w:r>
        <w:rPr>
          <w:rStyle w:val="CommentReference"/>
        </w:rPr>
        <w:annotationRef/>
      </w:r>
      <w:r>
        <w:t>This was originally:</w:t>
      </w:r>
    </w:p>
    <w:p w14:paraId="6656D704" w14:textId="1BB874E5" w:rsidR="00666310" w:rsidRDefault="00666310">
      <w:pPr>
        <w:pStyle w:val="CommentText"/>
      </w:pPr>
      <w:r>
        <w:t>4.</w:t>
      </w:r>
      <w:r w:rsidR="004A3EB7" w:rsidRPr="004A3EB7">
        <w:tab/>
      </w:r>
      <w:r>
        <w:t>Nilsdotter AK, Toksvig-Larsen S, Roos EM. Knee arthroplasty: are patients' expectations fulfilled? A prospective study of pain and function in 102 patients with 5-year follow-up. Acta Orthop. 2009;80(1):55-61.</w:t>
      </w:r>
    </w:p>
    <w:p w14:paraId="33DF9B52" w14:textId="6AD0C65D" w:rsidR="00666310" w:rsidRDefault="00666310">
      <w:pPr>
        <w:pStyle w:val="CommentText"/>
      </w:pPr>
    </w:p>
  </w:comment>
  <w:comment w:id="5" w:author="Norman" w:date="2022-08-25T14:28:00Z" w:initials="RM">
    <w:p w14:paraId="4289249F" w14:textId="77777777" w:rsidR="00666310" w:rsidRDefault="00666310">
      <w:pPr>
        <w:pStyle w:val="CommentText"/>
      </w:pPr>
      <w:r>
        <w:rPr>
          <w:rStyle w:val="CommentReference"/>
        </w:rPr>
        <w:annotationRef/>
      </w:r>
      <w:r>
        <w:t>This was originally:</w:t>
      </w:r>
    </w:p>
    <w:p w14:paraId="40D67498" w14:textId="7369985E" w:rsidR="00666310" w:rsidRDefault="00666310">
      <w:pPr>
        <w:pStyle w:val="CommentText"/>
      </w:pPr>
      <w:r>
        <w:t>7.</w:t>
      </w:r>
      <w:r w:rsidR="004A3EB7" w:rsidRPr="004A3EB7">
        <w:tab/>
      </w:r>
      <w:r>
        <w:t>Culliford DJ, Maskell J, Kiran A, Judge A, Javaid MK, Cooper C, et al. The lifetime risk of total hip and knee arthroplasty: results from the UK general practice research database. Osteoarthritis Cartilage. 2012;20(6):519-24.</w:t>
      </w:r>
    </w:p>
    <w:p w14:paraId="34DAB857" w14:textId="224EB730" w:rsidR="00666310" w:rsidRDefault="00666310">
      <w:pPr>
        <w:pStyle w:val="CommentText"/>
      </w:pPr>
    </w:p>
  </w:comment>
  <w:comment w:id="6" w:author="Norman" w:date="2022-08-25T14:28:00Z" w:initials="RM">
    <w:p w14:paraId="30EE00EE" w14:textId="77777777" w:rsidR="00666310" w:rsidRDefault="00666310">
      <w:pPr>
        <w:pStyle w:val="CommentText"/>
      </w:pPr>
      <w:r>
        <w:rPr>
          <w:rStyle w:val="CommentReference"/>
        </w:rPr>
        <w:annotationRef/>
      </w:r>
      <w:r>
        <w:t>This was originally:</w:t>
      </w:r>
    </w:p>
    <w:p w14:paraId="50B289B2" w14:textId="7339112B" w:rsidR="00666310" w:rsidRDefault="00666310">
      <w:pPr>
        <w:pStyle w:val="CommentText"/>
      </w:pPr>
      <w:r>
        <w:t>10.</w:t>
      </w:r>
      <w:r w:rsidR="004A3EB7" w:rsidRPr="004A3EB7">
        <w:tab/>
      </w:r>
      <w:r>
        <w:t>Macrae WA. Chronic pain after surgery. Br J Anaesth. 2001;87(1):88-98.</w:t>
      </w:r>
    </w:p>
    <w:p w14:paraId="29706336" w14:textId="35A687BF" w:rsidR="00666310" w:rsidRDefault="00666310">
      <w:pPr>
        <w:pStyle w:val="CommentText"/>
      </w:pPr>
    </w:p>
  </w:comment>
  <w:comment w:id="7" w:author="Norman" w:date="2022-08-25T14:28:00Z" w:initials="RM">
    <w:p w14:paraId="6B1CEA49" w14:textId="77777777" w:rsidR="00666310" w:rsidRDefault="00666310">
      <w:pPr>
        <w:pStyle w:val="CommentText"/>
      </w:pPr>
      <w:r>
        <w:rPr>
          <w:rStyle w:val="CommentReference"/>
        </w:rPr>
        <w:annotationRef/>
      </w:r>
      <w:r>
        <w:t>This was originally:</w:t>
      </w:r>
    </w:p>
    <w:p w14:paraId="07A0242A" w14:textId="1A330F70" w:rsidR="00666310" w:rsidRDefault="00666310">
      <w:pPr>
        <w:pStyle w:val="CommentText"/>
      </w:pPr>
      <w:r>
        <w:t>11.</w:t>
      </w:r>
      <w:r w:rsidR="004A3EB7" w:rsidRPr="004A3EB7">
        <w:tab/>
      </w:r>
      <w:r>
        <w:t>Lenguerrand E, Wylde V, Gooberman-Hill R, Sayers A, Brunton L, Beswick AD, et al. Trajectories of pain and function after primary hip and knee arthroplasty: The ADAPT Cohort Study. PLoS One. 2016;11(2):e0149306.</w:t>
      </w:r>
    </w:p>
    <w:p w14:paraId="4D68C1BA" w14:textId="4F54E9F4" w:rsidR="00666310" w:rsidRDefault="00666310">
      <w:pPr>
        <w:pStyle w:val="CommentText"/>
      </w:pPr>
    </w:p>
  </w:comment>
  <w:comment w:id="8" w:author="Norman" w:date="2022-08-25T14:28:00Z" w:initials="RM">
    <w:p w14:paraId="3C3ED646" w14:textId="77777777" w:rsidR="00666310" w:rsidRDefault="00666310">
      <w:pPr>
        <w:pStyle w:val="CommentText"/>
      </w:pPr>
      <w:r>
        <w:rPr>
          <w:rStyle w:val="CommentReference"/>
        </w:rPr>
        <w:annotationRef/>
      </w:r>
      <w:r>
        <w:t>This was originally:</w:t>
      </w:r>
    </w:p>
    <w:p w14:paraId="4D5F5AFB" w14:textId="4AD96A3D" w:rsidR="00666310" w:rsidRDefault="00666310">
      <w:pPr>
        <w:pStyle w:val="CommentText"/>
      </w:pPr>
      <w:r>
        <w:t>12.</w:t>
      </w:r>
      <w:r w:rsidR="004A3EB7" w:rsidRPr="004A3EB7">
        <w:tab/>
      </w:r>
      <w:r>
        <w:t>Ethgen O, Bruyere O, Richy F, Dardennes C, Reginster JY. Health-related quality of life in total hip and total knee arthroplasty. A qualitative and systematic review of the literature. J Bone Joint Surg Am. 2004;86-A(5):963-74.</w:t>
      </w:r>
    </w:p>
    <w:p w14:paraId="1A83A0F6" w14:textId="42F85EF3" w:rsidR="00666310" w:rsidRDefault="00666310">
      <w:pPr>
        <w:pStyle w:val="CommentText"/>
      </w:pPr>
    </w:p>
  </w:comment>
  <w:comment w:id="9" w:author="Norman" w:date="2022-08-25T14:28:00Z" w:initials="RM">
    <w:p w14:paraId="2B9325FA" w14:textId="77777777" w:rsidR="00666310" w:rsidRDefault="00666310">
      <w:pPr>
        <w:pStyle w:val="CommentText"/>
      </w:pPr>
      <w:r>
        <w:rPr>
          <w:rStyle w:val="CommentReference"/>
        </w:rPr>
        <w:annotationRef/>
      </w:r>
      <w:r>
        <w:t>This was originally:</w:t>
      </w:r>
    </w:p>
    <w:p w14:paraId="65B67E21" w14:textId="15358058" w:rsidR="00666310" w:rsidRDefault="00666310">
      <w:pPr>
        <w:pStyle w:val="CommentText"/>
      </w:pPr>
      <w:r>
        <w:t>15.</w:t>
      </w:r>
      <w:r w:rsidR="004A3EB7" w:rsidRPr="004A3EB7">
        <w:tab/>
      </w:r>
      <w:r>
        <w:t>Woolhead GM, Donovan JL, Dieppe PA. Outcomes of total knee replacement: a qualitative study. Rheumatology. 2005;44(8):1032-7.</w:t>
      </w:r>
    </w:p>
    <w:p w14:paraId="2874753B" w14:textId="4724B166" w:rsidR="00666310" w:rsidRDefault="00666310">
      <w:pPr>
        <w:pStyle w:val="CommentText"/>
      </w:pPr>
    </w:p>
  </w:comment>
  <w:comment w:id="10" w:author="Norman" w:date="2022-08-25T14:28:00Z" w:initials="RM">
    <w:p w14:paraId="53915DA8" w14:textId="77777777" w:rsidR="00666310" w:rsidRDefault="00666310">
      <w:pPr>
        <w:pStyle w:val="CommentText"/>
      </w:pPr>
      <w:r>
        <w:rPr>
          <w:rStyle w:val="CommentReference"/>
        </w:rPr>
        <w:annotationRef/>
      </w:r>
      <w:r>
        <w:t>This was originally:</w:t>
      </w:r>
    </w:p>
    <w:p w14:paraId="7F0DEE21" w14:textId="7522B6C5" w:rsidR="00666310" w:rsidRDefault="00666310">
      <w:pPr>
        <w:pStyle w:val="CommentText"/>
      </w:pPr>
      <w:r>
        <w:t>16.</w:t>
      </w:r>
      <w:r w:rsidR="004A3EB7" w:rsidRPr="004A3EB7">
        <w:tab/>
      </w:r>
      <w:r>
        <w:t>Beswick AD, Wylde V, Gooberman-Hill R, Blom A, Dieppe P. What proportion of patients report long-term pain after total hip or knee replacement for osteoarthritis? A systematic review of prospective studies in unselected patients. BMJ Open. 2012;2(1):e000435.</w:t>
      </w:r>
    </w:p>
    <w:p w14:paraId="63CAA3C3" w14:textId="6DA21BB5" w:rsidR="00666310" w:rsidRDefault="00666310">
      <w:pPr>
        <w:pStyle w:val="CommentText"/>
      </w:pPr>
    </w:p>
  </w:comment>
  <w:comment w:id="11" w:author="Norman" w:date="2022-08-25T14:28:00Z" w:initials="RM">
    <w:p w14:paraId="47558104" w14:textId="77777777" w:rsidR="00666310" w:rsidRDefault="00666310">
      <w:pPr>
        <w:pStyle w:val="CommentText"/>
      </w:pPr>
      <w:r>
        <w:rPr>
          <w:rStyle w:val="CommentReference"/>
        </w:rPr>
        <w:annotationRef/>
      </w:r>
      <w:r>
        <w:t>This was originally:</w:t>
      </w:r>
    </w:p>
    <w:p w14:paraId="6FD40954" w14:textId="28227A8B" w:rsidR="00666310" w:rsidRDefault="00666310">
      <w:pPr>
        <w:pStyle w:val="CommentText"/>
      </w:pPr>
      <w:r>
        <w:t>17.</w:t>
      </w:r>
      <w:r w:rsidR="004A3EB7" w:rsidRPr="004A3EB7">
        <w:tab/>
      </w:r>
      <w:r>
        <w:t>Baker PN, van der Meulen JH, Lewsey J, Gregg PJ. The role of pain and function in determining patient satisfaction after total knee replacement: Data from the National Joint Registry for England and Wales. J Bone Joint Surg Br. 2007;89-B(7):893-900.</w:t>
      </w:r>
    </w:p>
    <w:p w14:paraId="6C56208C" w14:textId="519F8592" w:rsidR="00666310" w:rsidRDefault="00666310">
      <w:pPr>
        <w:pStyle w:val="CommentText"/>
      </w:pPr>
    </w:p>
  </w:comment>
  <w:comment w:id="12" w:author="Norman" w:date="2022-08-25T14:28:00Z" w:initials="RM">
    <w:p w14:paraId="776A9E79" w14:textId="77777777" w:rsidR="00666310" w:rsidRDefault="00666310">
      <w:pPr>
        <w:pStyle w:val="CommentText"/>
      </w:pPr>
      <w:r>
        <w:rPr>
          <w:rStyle w:val="CommentReference"/>
        </w:rPr>
        <w:annotationRef/>
      </w:r>
      <w:r>
        <w:t>This was originally:</w:t>
      </w:r>
    </w:p>
    <w:p w14:paraId="70EF9FD5" w14:textId="72C69AFD" w:rsidR="00666310" w:rsidRDefault="00666310">
      <w:pPr>
        <w:pStyle w:val="CommentText"/>
      </w:pPr>
      <w:r>
        <w:t>18.</w:t>
      </w:r>
      <w:r w:rsidR="004A3EB7" w:rsidRPr="004A3EB7">
        <w:tab/>
      </w:r>
      <w:r>
        <w:t>Wylde V, Hewlett S, Learmonth ID, Dieppe P. Persistent pain after joint replacement: Prevalence, sensory qualities, and postoperative determinants. Pain. 2011;152(3):566-72.</w:t>
      </w:r>
    </w:p>
    <w:p w14:paraId="607CEDD7" w14:textId="504E8FCE" w:rsidR="00666310" w:rsidRDefault="00666310">
      <w:pPr>
        <w:pStyle w:val="CommentText"/>
      </w:pPr>
    </w:p>
  </w:comment>
  <w:comment w:id="13" w:author="Norman" w:date="2022-08-25T14:28:00Z" w:initials="RM">
    <w:p w14:paraId="4B66EBBF" w14:textId="77777777" w:rsidR="00666310" w:rsidRDefault="00666310">
      <w:pPr>
        <w:pStyle w:val="CommentText"/>
      </w:pPr>
      <w:r>
        <w:rPr>
          <w:rStyle w:val="CommentReference"/>
        </w:rPr>
        <w:annotationRef/>
      </w:r>
      <w:r>
        <w:t>This was originally:</w:t>
      </w:r>
    </w:p>
    <w:p w14:paraId="16ECFCD3" w14:textId="2F23B3E7" w:rsidR="00666310" w:rsidRDefault="00666310">
      <w:pPr>
        <w:pStyle w:val="CommentText"/>
      </w:pPr>
      <w:r>
        <w:t>20.</w:t>
      </w:r>
      <w:r w:rsidR="004A3EB7" w:rsidRPr="004A3EB7">
        <w:tab/>
      </w:r>
      <w:r>
        <w:t>Pinedo-Villanueva R, Khalid S, Wylde V, Gooberman-Hill R, Soni A, Judge A. Identifying individuals with chronic pain after knee replacement: a population-cohort, cluster-analysis of Oxford knee scores in 128,145 patients from the English National Health Service. BMC Musculoskelet Disord. 2018;19(1):354.</w:t>
      </w:r>
    </w:p>
    <w:p w14:paraId="2EED25A3" w14:textId="269AAD09" w:rsidR="00666310" w:rsidRDefault="00666310">
      <w:pPr>
        <w:pStyle w:val="CommentText"/>
      </w:pPr>
    </w:p>
  </w:comment>
  <w:comment w:id="14" w:author="Norman" w:date="2022-08-25T14:28:00Z" w:initials="RM">
    <w:p w14:paraId="1BA10364" w14:textId="77777777" w:rsidR="00666310" w:rsidRDefault="00666310">
      <w:pPr>
        <w:pStyle w:val="CommentText"/>
      </w:pPr>
      <w:r>
        <w:rPr>
          <w:rStyle w:val="CommentReference"/>
        </w:rPr>
        <w:annotationRef/>
      </w:r>
      <w:r>
        <w:t>This was originally:</w:t>
      </w:r>
    </w:p>
    <w:p w14:paraId="621AED5D" w14:textId="6E49F7CC" w:rsidR="00666310" w:rsidRDefault="00666310">
      <w:pPr>
        <w:pStyle w:val="CommentText"/>
      </w:pPr>
      <w:r>
        <w:t>21.</w:t>
      </w:r>
      <w:r w:rsidR="004A3EB7" w:rsidRPr="004A3EB7">
        <w:tab/>
      </w:r>
      <w:r>
        <w:t>Rice DA, Kluger MT, McNair PJ, Lewis GN, Somogyi AA, Borotkanics R, et al. Persistent postoperative pain after total knee arthroplasty: a prospective cohort study of potential risk factors. Br J Anaesth. 2018;121(4):804-12.</w:t>
      </w:r>
    </w:p>
    <w:p w14:paraId="210ED649" w14:textId="0B0BE348" w:rsidR="00666310" w:rsidRDefault="00666310">
      <w:pPr>
        <w:pStyle w:val="CommentText"/>
      </w:pPr>
    </w:p>
  </w:comment>
  <w:comment w:id="15" w:author="Norman" w:date="2022-08-25T14:28:00Z" w:initials="RM">
    <w:p w14:paraId="09B3B728" w14:textId="77777777" w:rsidR="00666310" w:rsidRDefault="00666310">
      <w:pPr>
        <w:pStyle w:val="CommentText"/>
      </w:pPr>
      <w:r>
        <w:rPr>
          <w:rStyle w:val="CommentReference"/>
        </w:rPr>
        <w:annotationRef/>
      </w:r>
      <w:r>
        <w:t>This was originally:</w:t>
      </w:r>
    </w:p>
    <w:p w14:paraId="0EB57DAA" w14:textId="6D7FADCF" w:rsidR="00666310" w:rsidRDefault="00666310">
      <w:pPr>
        <w:pStyle w:val="CommentText"/>
      </w:pPr>
      <w:r>
        <w:t>22.</w:t>
      </w:r>
      <w:r w:rsidR="004A3EB7" w:rsidRPr="004A3EB7">
        <w:tab/>
      </w:r>
      <w:r>
        <w:t>Vina ER, Hannon MJ, Kwoh CK. Improvement following total knee replacement surgery: Exploring preoperative symptoms and change in preoperative symptoms. Semin Arthritis Rheum. 2016;45(5):547-55.</w:t>
      </w:r>
    </w:p>
    <w:p w14:paraId="23119A2A" w14:textId="4E863BEB" w:rsidR="00666310" w:rsidRDefault="00666310">
      <w:pPr>
        <w:pStyle w:val="CommentText"/>
      </w:pPr>
    </w:p>
  </w:comment>
  <w:comment w:id="16" w:author="Norman" w:date="2022-08-25T14:29:00Z" w:initials="RM">
    <w:p w14:paraId="3B4A9500" w14:textId="77777777" w:rsidR="004A3EB7" w:rsidRDefault="004A3EB7">
      <w:pPr>
        <w:pStyle w:val="CommentText"/>
      </w:pPr>
      <w:r>
        <w:rPr>
          <w:rStyle w:val="CommentReference"/>
        </w:rPr>
        <w:annotationRef/>
      </w:r>
      <w:r>
        <w:t>This was originally:</w:t>
      </w:r>
    </w:p>
    <w:p w14:paraId="209DB045" w14:textId="520684C8" w:rsidR="004A3EB7" w:rsidRDefault="004A3EB7">
      <w:pPr>
        <w:pStyle w:val="CommentText"/>
      </w:pPr>
      <w:r>
        <w:t>23.</w:t>
      </w:r>
      <w:r w:rsidRPr="004A3EB7">
        <w:tab/>
      </w:r>
      <w:r>
        <w:t>Jørgensen CC, Petersen M, Kehlet H, Aasvang EK. Analgesic consumption trajectories in 8975 patients 1 year after fast-track total hip or knee arthroplasty. Eur J Pain. 2018.</w:t>
      </w:r>
    </w:p>
    <w:p w14:paraId="3730FBD9" w14:textId="77777777" w:rsidR="004A3EB7" w:rsidRDefault="004A3EB7">
      <w:pPr>
        <w:pStyle w:val="CommentText"/>
      </w:pPr>
    </w:p>
    <w:p w14:paraId="0E8243A8" w14:textId="774354B8" w:rsidR="004A3EB7" w:rsidRDefault="004A3EB7">
      <w:pPr>
        <w:pStyle w:val="CommentText"/>
      </w:pPr>
      <w:r>
        <w:t>WARNING: POTENTIAL FALSE POSITIVE: Please check carefully.</w:t>
      </w:r>
    </w:p>
  </w:comment>
  <w:comment w:id="17" w:author="NIHR standard" w:date="2022-08-25T14:29:00Z" w:initials="RM">
    <w:p w14:paraId="6D160510" w14:textId="57241B7B" w:rsidR="004A3EB7" w:rsidRDefault="004A3EB7">
      <w:pPr>
        <w:pStyle w:val="CommentText"/>
      </w:pPr>
      <w:r>
        <w:rPr>
          <w:rStyle w:val="CommentReference"/>
        </w:rPr>
        <w:annotationRef/>
      </w:r>
      <w:r>
        <w:t>Details for published online ahead of print added; OK?</w:t>
      </w:r>
    </w:p>
  </w:comment>
  <w:comment w:id="18" w:author="Norman" w:date="2022-08-25T14:29:00Z" w:initials="RM">
    <w:p w14:paraId="08BB1808" w14:textId="77777777" w:rsidR="004A3EB7" w:rsidRDefault="004A3EB7">
      <w:pPr>
        <w:pStyle w:val="CommentText"/>
      </w:pPr>
      <w:r>
        <w:rPr>
          <w:rStyle w:val="CommentReference"/>
        </w:rPr>
        <w:annotationRef/>
      </w:r>
      <w:r>
        <w:t>This was originally:</w:t>
      </w:r>
    </w:p>
    <w:p w14:paraId="6134FAEE" w14:textId="0934D340" w:rsidR="004A3EB7" w:rsidRDefault="004A3EB7">
      <w:pPr>
        <w:pStyle w:val="CommentText"/>
      </w:pPr>
      <w:r>
        <w:t>24.</w:t>
      </w:r>
      <w:r w:rsidRPr="004A3EB7">
        <w:tab/>
      </w:r>
      <w:r>
        <w:t>Smith BH, Elliott AM, Chambers WA, Smith WC, Hannaford PC, Penny K. The impact of chronic pain in the community. Fam Pract. 2001;18(3):292-9.</w:t>
      </w:r>
    </w:p>
    <w:p w14:paraId="75AA555A" w14:textId="0C9592FF" w:rsidR="004A3EB7" w:rsidRDefault="004A3EB7">
      <w:pPr>
        <w:pStyle w:val="CommentText"/>
      </w:pPr>
    </w:p>
  </w:comment>
  <w:comment w:id="19" w:author="Norman" w:date="2022-08-25T14:29:00Z" w:initials="RM">
    <w:p w14:paraId="0CB27EA9" w14:textId="77777777" w:rsidR="004A3EB7" w:rsidRDefault="004A3EB7">
      <w:pPr>
        <w:pStyle w:val="CommentText"/>
      </w:pPr>
      <w:r>
        <w:rPr>
          <w:rStyle w:val="CommentReference"/>
        </w:rPr>
        <w:annotationRef/>
      </w:r>
      <w:r>
        <w:t>This was originally:</w:t>
      </w:r>
    </w:p>
    <w:p w14:paraId="212C6CA9" w14:textId="67F72451" w:rsidR="004A3EB7" w:rsidRDefault="004A3EB7">
      <w:pPr>
        <w:pStyle w:val="CommentText"/>
      </w:pPr>
      <w:r>
        <w:t>26.</w:t>
      </w:r>
      <w:r w:rsidRPr="004A3EB7">
        <w:tab/>
      </w:r>
      <w:r>
        <w:t>Magni G, Caldieron C, Rigatti-Luchini S, Merskey H. Chronic musculoskeletal pain and depressive symptoms in the general population. An analysis of the 1st National Health and Nutrition Examination Survey data. Pain. 1990;43(3):299-307.</w:t>
      </w:r>
    </w:p>
    <w:p w14:paraId="7013D3F3" w14:textId="6057BE4D" w:rsidR="004A3EB7" w:rsidRDefault="004A3EB7">
      <w:pPr>
        <w:pStyle w:val="CommentText"/>
      </w:pPr>
    </w:p>
  </w:comment>
  <w:comment w:id="20" w:author="Norman" w:date="2022-08-25T14:29:00Z" w:initials="RM">
    <w:p w14:paraId="238FB68C" w14:textId="77777777" w:rsidR="004A3EB7" w:rsidRDefault="004A3EB7">
      <w:pPr>
        <w:pStyle w:val="CommentText"/>
      </w:pPr>
      <w:r>
        <w:rPr>
          <w:rStyle w:val="CommentReference"/>
        </w:rPr>
        <w:annotationRef/>
      </w:r>
      <w:r>
        <w:t>This was originally:</w:t>
      </w:r>
    </w:p>
    <w:p w14:paraId="51F72B2A" w14:textId="214E8AB5" w:rsidR="004A3EB7" w:rsidRDefault="004A3EB7">
      <w:pPr>
        <w:pStyle w:val="CommentText"/>
      </w:pPr>
      <w:r>
        <w:t>27.</w:t>
      </w:r>
      <w:r w:rsidRPr="004A3EB7">
        <w:tab/>
      </w:r>
      <w:r>
        <w:t>Brox JI, Storheim K, Holm I, Friis A, Reikeras O. Disability, pain, psychological factors and physical performance in healthy controls, patients with sub-acute and chronic low back pain: a case-control study. J Rehabil Med. 2005;37(2):95-9.</w:t>
      </w:r>
    </w:p>
    <w:p w14:paraId="32095989" w14:textId="4A37990C" w:rsidR="004A3EB7" w:rsidRDefault="004A3EB7">
      <w:pPr>
        <w:pStyle w:val="CommentText"/>
      </w:pPr>
    </w:p>
  </w:comment>
  <w:comment w:id="21" w:author="Norman" w:date="2022-08-25T14:29:00Z" w:initials="RM">
    <w:p w14:paraId="63E2381E" w14:textId="77777777" w:rsidR="004A3EB7" w:rsidRDefault="004A3EB7">
      <w:pPr>
        <w:pStyle w:val="CommentText"/>
      </w:pPr>
      <w:r>
        <w:rPr>
          <w:rStyle w:val="CommentReference"/>
        </w:rPr>
        <w:annotationRef/>
      </w:r>
      <w:r>
        <w:t>This was originally:</w:t>
      </w:r>
    </w:p>
    <w:p w14:paraId="3FF700BB" w14:textId="7A1E0D98" w:rsidR="004A3EB7" w:rsidRDefault="004A3EB7">
      <w:pPr>
        <w:pStyle w:val="CommentText"/>
      </w:pPr>
      <w:r>
        <w:t>28.</w:t>
      </w:r>
      <w:r w:rsidRPr="004A3EB7">
        <w:tab/>
      </w:r>
      <w:r>
        <w:t>Silvemark AJ, Källmén H, Portala K, Molander C. Life satisfaction in patients with long-term non-malignant pain–relation to demographic factors and pain intensity. Disabil Rehabil. 2008;30(25):1929-37.</w:t>
      </w:r>
    </w:p>
    <w:p w14:paraId="1ECA3812" w14:textId="77777777" w:rsidR="004A3EB7" w:rsidRDefault="004A3EB7">
      <w:pPr>
        <w:pStyle w:val="CommentText"/>
      </w:pPr>
    </w:p>
    <w:p w14:paraId="41691F5F" w14:textId="78520EDA" w:rsidR="004A3EB7" w:rsidRDefault="004A3EB7">
      <w:pPr>
        <w:pStyle w:val="CommentText"/>
      </w:pPr>
      <w:r>
        <w:t>WARNING: POTENTIAL FALSE POSITIVE: Please check carefully.</w:t>
      </w:r>
    </w:p>
  </w:comment>
  <w:comment w:id="22" w:author="NIHR standard" w:date="2022-08-25T14:29:00Z" w:initials="RM">
    <w:p w14:paraId="7F10A7FE" w14:textId="3AA07B1A" w:rsidR="004A3EB7" w:rsidRDefault="004A3EB7">
      <w:pPr>
        <w:pStyle w:val="CommentText"/>
      </w:pPr>
      <w:r>
        <w:rPr>
          <w:rStyle w:val="CommentReference"/>
        </w:rPr>
        <w:annotationRef/>
      </w:r>
      <w:r>
        <w:t>The page range has been amended to match that in PubMed; OK?</w:t>
      </w:r>
    </w:p>
  </w:comment>
  <w:comment w:id="23" w:author="Norman" w:date="2022-08-25T14:29:00Z" w:initials="RM">
    <w:p w14:paraId="0D08FAFC" w14:textId="77777777" w:rsidR="004A3EB7" w:rsidRDefault="004A3EB7">
      <w:pPr>
        <w:pStyle w:val="CommentText"/>
      </w:pPr>
      <w:r>
        <w:rPr>
          <w:rStyle w:val="CommentReference"/>
        </w:rPr>
        <w:annotationRef/>
      </w:r>
      <w:r>
        <w:t>This was originally:</w:t>
      </w:r>
    </w:p>
    <w:p w14:paraId="5D23F76B" w14:textId="0A33A86E" w:rsidR="004A3EB7" w:rsidRDefault="004A3EB7">
      <w:pPr>
        <w:pStyle w:val="CommentText"/>
      </w:pPr>
      <w:r>
        <w:t>29.</w:t>
      </w:r>
      <w:r w:rsidRPr="004A3EB7">
        <w:tab/>
      </w:r>
      <w:r>
        <w:t>Boonstra A, Reneman M, Stewart R, Post M, Schiphorst Preuper H. Life satisfaction in patients with chronic musculoskeletal pain and its predictors. Qual Life Res. 2013;22(1):93-101.</w:t>
      </w:r>
    </w:p>
    <w:p w14:paraId="7DBD2E36" w14:textId="2C914C2C" w:rsidR="004A3EB7" w:rsidRDefault="004A3EB7">
      <w:pPr>
        <w:pStyle w:val="CommentText"/>
      </w:pPr>
    </w:p>
  </w:comment>
  <w:comment w:id="24" w:author="Norman" w:date="2022-08-25T14:29:00Z" w:initials="RM">
    <w:p w14:paraId="275A74DC" w14:textId="77777777" w:rsidR="004A3EB7" w:rsidRDefault="004A3EB7">
      <w:pPr>
        <w:pStyle w:val="CommentText"/>
      </w:pPr>
      <w:r>
        <w:rPr>
          <w:rStyle w:val="CommentReference"/>
        </w:rPr>
        <w:annotationRef/>
      </w:r>
      <w:r>
        <w:t>This was originally:</w:t>
      </w:r>
    </w:p>
    <w:p w14:paraId="7D145E55" w14:textId="4A05F5CE" w:rsidR="004A3EB7" w:rsidRDefault="004A3EB7">
      <w:pPr>
        <w:pStyle w:val="CommentText"/>
      </w:pPr>
      <w:r>
        <w:t>30.</w:t>
      </w:r>
      <w:r w:rsidRPr="004A3EB7">
        <w:tab/>
      </w:r>
      <w:r>
        <w:t>Hawton A, Green C, Dickens AP, Richards SH, Taylor RS, Edwards R, et al. The impact of social isolation on the health status and health-related quality of life of older people. Qual Life Res. 2011;20(1):57-67.</w:t>
      </w:r>
    </w:p>
    <w:p w14:paraId="5A57F1A1" w14:textId="5441D850" w:rsidR="004A3EB7" w:rsidRDefault="004A3EB7">
      <w:pPr>
        <w:pStyle w:val="CommentText"/>
      </w:pPr>
    </w:p>
  </w:comment>
  <w:comment w:id="25" w:author="Norman" w:date="2022-08-25T14:29:00Z" w:initials="RM">
    <w:p w14:paraId="3A111584" w14:textId="77777777" w:rsidR="004A3EB7" w:rsidRDefault="004A3EB7">
      <w:pPr>
        <w:pStyle w:val="CommentText"/>
      </w:pPr>
      <w:r>
        <w:rPr>
          <w:rStyle w:val="CommentReference"/>
        </w:rPr>
        <w:annotationRef/>
      </w:r>
      <w:r>
        <w:t>This was originally:</w:t>
      </w:r>
    </w:p>
    <w:p w14:paraId="52E35FA1" w14:textId="45A50201" w:rsidR="004A3EB7" w:rsidRDefault="004A3EB7">
      <w:pPr>
        <w:pStyle w:val="CommentText"/>
      </w:pPr>
      <w:r>
        <w:t>33.</w:t>
      </w:r>
      <w:r w:rsidRPr="004A3EB7">
        <w:tab/>
      </w:r>
      <w:r>
        <w:t>Breivik H, Eisenberg E, O'Brien T. The individual and societal burden of chronic pain in Europe: the case for strategic prioritisation and action to improve knowledge and availability of appropriate care. BMC Public Health. 2013;13(1):1229.</w:t>
      </w:r>
    </w:p>
    <w:p w14:paraId="3774F84D" w14:textId="2AF34D25" w:rsidR="004A3EB7" w:rsidRDefault="004A3EB7">
      <w:pPr>
        <w:pStyle w:val="CommentText"/>
      </w:pPr>
    </w:p>
  </w:comment>
  <w:comment w:id="26" w:author="Norman" w:date="2022-08-25T14:29:00Z" w:initials="RM">
    <w:p w14:paraId="4A6D013E" w14:textId="77777777" w:rsidR="004A3EB7" w:rsidRDefault="004A3EB7">
      <w:pPr>
        <w:pStyle w:val="CommentText"/>
      </w:pPr>
      <w:r>
        <w:rPr>
          <w:rStyle w:val="CommentReference"/>
        </w:rPr>
        <w:annotationRef/>
      </w:r>
      <w:r>
        <w:t>This was originally:</w:t>
      </w:r>
    </w:p>
    <w:p w14:paraId="37BC64F9" w14:textId="5BF2ED45" w:rsidR="004A3EB7" w:rsidRDefault="004A3EB7">
      <w:pPr>
        <w:pStyle w:val="CommentText"/>
      </w:pPr>
      <w:r>
        <w:t>34.</w:t>
      </w:r>
      <w:r w:rsidRPr="004A3EB7">
        <w:tab/>
      </w:r>
      <w:r>
        <w:t>Bedson J, Belcher J, Martino OI, Ndlovu M, Rathod T, Walters K, et al. The effectiveness of national guidance in changing analgesic prescribing in primary care from 2002 to 2009: an observational database study. Eur J Pain. 2013;17(3):434-43.</w:t>
      </w:r>
    </w:p>
    <w:p w14:paraId="6B3543FD" w14:textId="6451F8A3" w:rsidR="004A3EB7" w:rsidRDefault="004A3EB7">
      <w:pPr>
        <w:pStyle w:val="CommentText"/>
      </w:pPr>
    </w:p>
  </w:comment>
  <w:comment w:id="27" w:author="Norman" w:date="2022-08-25T14:29:00Z" w:initials="RM">
    <w:p w14:paraId="7C8FA87A" w14:textId="77777777" w:rsidR="004A3EB7" w:rsidRDefault="004A3EB7">
      <w:pPr>
        <w:pStyle w:val="CommentText"/>
      </w:pPr>
      <w:r>
        <w:rPr>
          <w:rStyle w:val="CommentReference"/>
        </w:rPr>
        <w:annotationRef/>
      </w:r>
      <w:r>
        <w:t>This was originally:</w:t>
      </w:r>
    </w:p>
    <w:p w14:paraId="4C772838" w14:textId="40F2A0A5" w:rsidR="004A3EB7" w:rsidRDefault="004A3EB7">
      <w:pPr>
        <w:pStyle w:val="CommentText"/>
      </w:pPr>
      <w:r>
        <w:t>35.</w:t>
      </w:r>
      <w:r w:rsidRPr="004A3EB7">
        <w:tab/>
      </w:r>
      <w:r>
        <w:t>Hong J, Reed C, Novick D, Happich M. Costs associated with treatment of chronic low back pain: an analysis of the UK General Practice Research Database. Spine. 2013;38(1):75-82.</w:t>
      </w:r>
    </w:p>
    <w:p w14:paraId="2FBF0148" w14:textId="2E3F4642" w:rsidR="004A3EB7" w:rsidRDefault="004A3EB7">
      <w:pPr>
        <w:pStyle w:val="CommentText"/>
      </w:pPr>
    </w:p>
  </w:comment>
  <w:comment w:id="28" w:author="Norman" w:date="2022-08-25T14:29:00Z" w:initials="RM">
    <w:p w14:paraId="32C1183E" w14:textId="77777777" w:rsidR="004A3EB7" w:rsidRDefault="004A3EB7">
      <w:pPr>
        <w:pStyle w:val="CommentText"/>
      </w:pPr>
      <w:r>
        <w:rPr>
          <w:rStyle w:val="CommentReference"/>
        </w:rPr>
        <w:annotationRef/>
      </w:r>
      <w:r>
        <w:t>This was originally:</w:t>
      </w:r>
    </w:p>
    <w:p w14:paraId="0B367472" w14:textId="089F2437" w:rsidR="004A3EB7" w:rsidRDefault="004A3EB7">
      <w:pPr>
        <w:pStyle w:val="CommentText"/>
      </w:pPr>
      <w:r>
        <w:t>36.</w:t>
      </w:r>
      <w:r w:rsidRPr="004A3EB7">
        <w:tab/>
      </w:r>
      <w:r>
        <w:t>Wylde V, Dieppe P, Hewlett S, Learmonth ID. Total knee replacement: Is it really an effective procedure for all? Knee. 2007;14(6):417-23.</w:t>
      </w:r>
    </w:p>
    <w:p w14:paraId="39B054F3" w14:textId="34CBD851" w:rsidR="004A3EB7" w:rsidRDefault="004A3EB7">
      <w:pPr>
        <w:pStyle w:val="CommentText"/>
      </w:pPr>
    </w:p>
  </w:comment>
  <w:comment w:id="29" w:author="Norman" w:date="2022-08-25T14:29:00Z" w:initials="RM">
    <w:p w14:paraId="6337AA08" w14:textId="77777777" w:rsidR="004A3EB7" w:rsidRDefault="004A3EB7">
      <w:pPr>
        <w:pStyle w:val="CommentText"/>
      </w:pPr>
      <w:r>
        <w:rPr>
          <w:rStyle w:val="CommentReference"/>
        </w:rPr>
        <w:annotationRef/>
      </w:r>
      <w:r>
        <w:t>This was originally:</w:t>
      </w:r>
    </w:p>
    <w:p w14:paraId="5C36708E" w14:textId="2A2440E7" w:rsidR="004A3EB7" w:rsidRDefault="004A3EB7">
      <w:pPr>
        <w:pStyle w:val="CommentText"/>
      </w:pPr>
      <w:r>
        <w:t>37.</w:t>
      </w:r>
      <w:r w:rsidRPr="004A3EB7">
        <w:tab/>
      </w:r>
      <w:r>
        <w:t>Lundblad H, Kreicbergs A, Jansson KA. Prediction of persistent pain after total knee replacement for osteoarthritis. J Bone Joint Surg Br. 2008;90-B(2):166-71.</w:t>
      </w:r>
    </w:p>
    <w:p w14:paraId="128F263C" w14:textId="6982DBC8" w:rsidR="004A3EB7" w:rsidRDefault="004A3EB7">
      <w:pPr>
        <w:pStyle w:val="CommentText"/>
      </w:pPr>
    </w:p>
  </w:comment>
  <w:comment w:id="30" w:author="Norman" w:date="2022-08-25T14:29:00Z" w:initials="RM">
    <w:p w14:paraId="5A9F9CB1" w14:textId="77777777" w:rsidR="004A3EB7" w:rsidRDefault="004A3EB7">
      <w:pPr>
        <w:pStyle w:val="CommentText"/>
      </w:pPr>
      <w:r>
        <w:rPr>
          <w:rStyle w:val="CommentReference"/>
        </w:rPr>
        <w:annotationRef/>
      </w:r>
      <w:r>
        <w:t>This was originally:</w:t>
      </w:r>
    </w:p>
    <w:p w14:paraId="3598AAA9" w14:textId="20FC1CD3" w:rsidR="004A3EB7" w:rsidRDefault="004A3EB7">
      <w:pPr>
        <w:pStyle w:val="CommentText"/>
      </w:pPr>
      <w:r>
        <w:t>38.</w:t>
      </w:r>
      <w:r w:rsidRPr="004A3EB7">
        <w:tab/>
      </w:r>
      <w:r>
        <w:t>Wells V. Moving out of pain. Chronic Illn. 2010;6:154-60.</w:t>
      </w:r>
    </w:p>
    <w:p w14:paraId="060053D7" w14:textId="384B235E" w:rsidR="004A3EB7" w:rsidRDefault="004A3EB7">
      <w:pPr>
        <w:pStyle w:val="CommentText"/>
      </w:pPr>
    </w:p>
  </w:comment>
  <w:comment w:id="31" w:author="Norman" w:date="2022-08-25T14:29:00Z" w:initials="RM">
    <w:p w14:paraId="3C7E0C64" w14:textId="77777777" w:rsidR="004A3EB7" w:rsidRDefault="004A3EB7">
      <w:pPr>
        <w:pStyle w:val="CommentText"/>
      </w:pPr>
      <w:r>
        <w:rPr>
          <w:rStyle w:val="CommentReference"/>
        </w:rPr>
        <w:annotationRef/>
      </w:r>
      <w:r>
        <w:t>This was originally:</w:t>
      </w:r>
    </w:p>
    <w:p w14:paraId="197F3982" w14:textId="79460609" w:rsidR="004A3EB7" w:rsidRDefault="004A3EB7">
      <w:pPr>
        <w:pStyle w:val="CommentText"/>
      </w:pPr>
      <w:r>
        <w:t>40.</w:t>
      </w:r>
      <w:r w:rsidRPr="004A3EB7">
        <w:tab/>
      </w:r>
      <w:r>
        <w:t>Haroutiunian S, Nikolajsen L, Finnerup NB, Jensen TS. The neuropathic component in persistent postsurgical pain: a systematic literature review. Pain. 2013;154(1):95-102.</w:t>
      </w:r>
    </w:p>
    <w:p w14:paraId="280DA755" w14:textId="4AAE3DA1" w:rsidR="004A3EB7" w:rsidRDefault="004A3EB7">
      <w:pPr>
        <w:pStyle w:val="CommentText"/>
      </w:pPr>
    </w:p>
  </w:comment>
  <w:comment w:id="32" w:author="Norman" w:date="2022-08-25T14:29:00Z" w:initials="RM">
    <w:p w14:paraId="1093E92C" w14:textId="77777777" w:rsidR="004A3EB7" w:rsidRDefault="004A3EB7">
      <w:pPr>
        <w:pStyle w:val="CommentText"/>
      </w:pPr>
      <w:r>
        <w:rPr>
          <w:rStyle w:val="CommentReference"/>
        </w:rPr>
        <w:annotationRef/>
      </w:r>
      <w:r>
        <w:t>This was originally:</w:t>
      </w:r>
    </w:p>
    <w:p w14:paraId="5C6C9069" w14:textId="74D756EC" w:rsidR="004A3EB7" w:rsidRDefault="004A3EB7">
      <w:pPr>
        <w:pStyle w:val="CommentText"/>
      </w:pPr>
      <w:r>
        <w:t>41.</w:t>
      </w:r>
      <w:r w:rsidRPr="004A3EB7">
        <w:tab/>
      </w:r>
      <w:r>
        <w:t>Mandalia V, Eyres K, Schranz P, Toms AD. Evaluation of patients with a painful total knee replacement. J Bone Joint Surg Br. 2008;90(3):265-71.</w:t>
      </w:r>
    </w:p>
    <w:p w14:paraId="07BB4843" w14:textId="1564F08A" w:rsidR="004A3EB7" w:rsidRDefault="004A3EB7">
      <w:pPr>
        <w:pStyle w:val="CommentText"/>
      </w:pPr>
    </w:p>
  </w:comment>
  <w:comment w:id="33" w:author="Norman" w:date="2022-08-25T14:29:00Z" w:initials="RM">
    <w:p w14:paraId="2D7BFE29" w14:textId="77777777" w:rsidR="004A3EB7" w:rsidRDefault="004A3EB7">
      <w:pPr>
        <w:pStyle w:val="CommentText"/>
      </w:pPr>
      <w:r>
        <w:rPr>
          <w:rStyle w:val="CommentReference"/>
        </w:rPr>
        <w:annotationRef/>
      </w:r>
      <w:r>
        <w:t>This was originally:</w:t>
      </w:r>
    </w:p>
    <w:p w14:paraId="03286E8E" w14:textId="0A214386" w:rsidR="004A3EB7" w:rsidRDefault="004A3EB7">
      <w:pPr>
        <w:pStyle w:val="CommentText"/>
      </w:pPr>
      <w:r>
        <w:t>42.</w:t>
      </w:r>
      <w:r w:rsidRPr="004A3EB7">
        <w:tab/>
      </w:r>
      <w:r>
        <w:t>Toms AD, Mandalia V, Haigh R, Hopwood B. The management of patients with painful total knee replacement. J Bone Joint Surg Br. 2009;91(2):143-50.</w:t>
      </w:r>
    </w:p>
    <w:p w14:paraId="14DCF068" w14:textId="08D2342E" w:rsidR="004A3EB7" w:rsidRDefault="004A3EB7">
      <w:pPr>
        <w:pStyle w:val="CommentText"/>
      </w:pPr>
    </w:p>
  </w:comment>
  <w:comment w:id="34" w:author="Norman" w:date="2022-08-25T14:29:00Z" w:initials="RM">
    <w:p w14:paraId="7852839E" w14:textId="77777777" w:rsidR="004A3EB7" w:rsidRDefault="004A3EB7">
      <w:pPr>
        <w:pStyle w:val="CommentText"/>
      </w:pPr>
      <w:r>
        <w:rPr>
          <w:rStyle w:val="CommentReference"/>
        </w:rPr>
        <w:annotationRef/>
      </w:r>
      <w:r>
        <w:t>This was originally:</w:t>
      </w:r>
    </w:p>
    <w:p w14:paraId="084E8903" w14:textId="52BEB906" w:rsidR="004A3EB7" w:rsidRDefault="004A3EB7">
      <w:pPr>
        <w:pStyle w:val="CommentText"/>
      </w:pPr>
      <w:r>
        <w:t>43.</w:t>
      </w:r>
      <w:r w:rsidRPr="004A3EB7">
        <w:tab/>
      </w:r>
      <w:r>
        <w:t>Hofmann S, Seitlinger G, Djahani O, Pietsch M. The painful knee after TKA: a diagnostic algorithm for failure analysis. Knee Surg Sports Traumatol Arthrosc. 2011;19(9):1442-52.</w:t>
      </w:r>
    </w:p>
    <w:p w14:paraId="69725D06" w14:textId="10903BB0" w:rsidR="004A3EB7" w:rsidRDefault="004A3EB7">
      <w:pPr>
        <w:pStyle w:val="CommentText"/>
      </w:pPr>
    </w:p>
  </w:comment>
  <w:comment w:id="35" w:author="Norman" w:date="2022-08-25T14:29:00Z" w:initials="RM">
    <w:p w14:paraId="2D49713A" w14:textId="77777777" w:rsidR="004A3EB7" w:rsidRDefault="004A3EB7">
      <w:pPr>
        <w:pStyle w:val="CommentText"/>
      </w:pPr>
      <w:r>
        <w:rPr>
          <w:rStyle w:val="CommentReference"/>
        </w:rPr>
        <w:annotationRef/>
      </w:r>
      <w:r>
        <w:t>This was originally:</w:t>
      </w:r>
    </w:p>
    <w:p w14:paraId="382013A4" w14:textId="45DAFE42" w:rsidR="004A3EB7" w:rsidRDefault="004A3EB7">
      <w:pPr>
        <w:pStyle w:val="CommentText"/>
      </w:pPr>
      <w:r>
        <w:t>44.</w:t>
      </w:r>
      <w:r w:rsidRPr="004A3EB7">
        <w:tab/>
      </w:r>
      <w:r>
        <w:t>Burns LC, Ritvo SE, Ferguson MK, Clarke H, Seltzer Z, Katz J. Pain catastrophizing as a risk factor for chronic pain after total knee arthroplasty: a systematic review. J Pain Res. 2015;8:21-32.</w:t>
      </w:r>
    </w:p>
    <w:p w14:paraId="386F75B6" w14:textId="7589877F" w:rsidR="004A3EB7" w:rsidRDefault="004A3EB7">
      <w:pPr>
        <w:pStyle w:val="CommentText"/>
      </w:pPr>
    </w:p>
  </w:comment>
  <w:comment w:id="36" w:author="Norman" w:date="2022-08-25T14:29:00Z" w:initials="RM">
    <w:p w14:paraId="0DEFCA7C" w14:textId="77777777" w:rsidR="004A3EB7" w:rsidRDefault="004A3EB7">
      <w:pPr>
        <w:pStyle w:val="CommentText"/>
      </w:pPr>
      <w:r>
        <w:rPr>
          <w:rStyle w:val="CommentReference"/>
        </w:rPr>
        <w:annotationRef/>
      </w:r>
      <w:r>
        <w:t>This was originally:</w:t>
      </w:r>
    </w:p>
    <w:p w14:paraId="4D13A021" w14:textId="599B4A1E" w:rsidR="004A3EB7" w:rsidRDefault="004A3EB7">
      <w:pPr>
        <w:pStyle w:val="CommentText"/>
      </w:pPr>
      <w:r>
        <w:t>45.</w:t>
      </w:r>
      <w:r w:rsidRPr="004A3EB7">
        <w:tab/>
      </w:r>
      <w:r>
        <w:t>Lewis GN, Rice DA, McNair PJ, Kluger M. Predictors of persistent pain after total knee arthroplasty: a systematic review and meta-analysis. Br J Anaesth. 2015;114(4):551-61.</w:t>
      </w:r>
    </w:p>
    <w:p w14:paraId="367BC77B" w14:textId="4337C1D3" w:rsidR="004A3EB7" w:rsidRDefault="004A3EB7">
      <w:pPr>
        <w:pStyle w:val="CommentText"/>
      </w:pPr>
    </w:p>
  </w:comment>
  <w:comment w:id="37" w:author="Norman" w:date="2022-08-25T14:29:00Z" w:initials="RM">
    <w:p w14:paraId="4DF7DE3A" w14:textId="77777777" w:rsidR="004A3EB7" w:rsidRDefault="004A3EB7">
      <w:pPr>
        <w:pStyle w:val="CommentText"/>
      </w:pPr>
      <w:r>
        <w:rPr>
          <w:rStyle w:val="CommentReference"/>
        </w:rPr>
        <w:annotationRef/>
      </w:r>
      <w:r>
        <w:t>This was originally:</w:t>
      </w:r>
    </w:p>
    <w:p w14:paraId="7F131484" w14:textId="3968BE18" w:rsidR="004A3EB7" w:rsidRDefault="004A3EB7">
      <w:pPr>
        <w:pStyle w:val="CommentText"/>
      </w:pPr>
      <w:r>
        <w:t>46.</w:t>
      </w:r>
      <w:r w:rsidRPr="004A3EB7">
        <w:tab/>
      </w:r>
      <w:r>
        <w:t>Lungu E, Vendittoli PA, Desmeules F. Preoperative determinants of patient-reported pain and physical function levels following total knee arthroplasty: A systematic review. Open Orthop J. 2016;10:213-31.</w:t>
      </w:r>
    </w:p>
    <w:p w14:paraId="5A6E831C" w14:textId="39153EB2" w:rsidR="004A3EB7" w:rsidRDefault="004A3EB7">
      <w:pPr>
        <w:pStyle w:val="CommentText"/>
      </w:pPr>
    </w:p>
  </w:comment>
  <w:comment w:id="38" w:author="Norman" w:date="2022-08-25T14:29:00Z" w:initials="RM">
    <w:p w14:paraId="2715F68F" w14:textId="77777777" w:rsidR="004A3EB7" w:rsidRDefault="004A3EB7">
      <w:pPr>
        <w:pStyle w:val="CommentText"/>
      </w:pPr>
      <w:r>
        <w:rPr>
          <w:rStyle w:val="CommentReference"/>
        </w:rPr>
        <w:annotationRef/>
      </w:r>
      <w:r>
        <w:t>This was originally:</w:t>
      </w:r>
    </w:p>
    <w:p w14:paraId="7BB202D2" w14:textId="07493D21" w:rsidR="004A3EB7" w:rsidRDefault="004A3EB7">
      <w:pPr>
        <w:pStyle w:val="CommentText"/>
      </w:pPr>
      <w:r>
        <w:t>47.</w:t>
      </w:r>
      <w:r w:rsidRPr="004A3EB7">
        <w:tab/>
      </w:r>
      <w:r>
        <w:t>Sorel JC, Veltman ES, Honig A, Poolman RW. The influence of preoperative psychological distress on pain and function after total knee arthroplasty: a systematic review and meta-analysis. Bone Joint J. 2019;101-B(1):7-14.</w:t>
      </w:r>
    </w:p>
    <w:p w14:paraId="2509D964" w14:textId="10A09648" w:rsidR="004A3EB7" w:rsidRDefault="004A3EB7">
      <w:pPr>
        <w:pStyle w:val="CommentText"/>
      </w:pPr>
    </w:p>
  </w:comment>
  <w:comment w:id="39" w:author="Norman" w:date="2022-08-25T14:29:00Z" w:initials="RM">
    <w:p w14:paraId="6C7F057E" w14:textId="77777777" w:rsidR="004A3EB7" w:rsidRDefault="004A3EB7">
      <w:pPr>
        <w:pStyle w:val="CommentText"/>
      </w:pPr>
      <w:r>
        <w:rPr>
          <w:rStyle w:val="CommentReference"/>
        </w:rPr>
        <w:annotationRef/>
      </w:r>
      <w:r>
        <w:t>This was originally:</w:t>
      </w:r>
    </w:p>
    <w:p w14:paraId="60852A91" w14:textId="5D5E8A95" w:rsidR="004A3EB7" w:rsidRDefault="004A3EB7">
      <w:pPr>
        <w:pStyle w:val="CommentText"/>
      </w:pPr>
      <w:r>
        <w:t>48.</w:t>
      </w:r>
      <w:r w:rsidRPr="004A3EB7">
        <w:tab/>
      </w:r>
      <w:r>
        <w:t>Beswick AD, Wylde V, Gooberman-Hill R. Interventions for the prediction and management of chronic postsurgical pain after total knee replacement: systematic review of randomised controlled trials. BMJ Open. 2015;5(5):e007387.</w:t>
      </w:r>
    </w:p>
    <w:p w14:paraId="07016309" w14:textId="6002A51D" w:rsidR="004A3EB7" w:rsidRDefault="004A3EB7">
      <w:pPr>
        <w:pStyle w:val="CommentText"/>
      </w:pPr>
    </w:p>
  </w:comment>
  <w:comment w:id="40" w:author="Norman" w:date="2022-08-25T14:29:00Z" w:initials="RM">
    <w:p w14:paraId="1748646C" w14:textId="77777777" w:rsidR="004A3EB7" w:rsidRDefault="004A3EB7">
      <w:pPr>
        <w:pStyle w:val="CommentText"/>
      </w:pPr>
      <w:r>
        <w:rPr>
          <w:rStyle w:val="CommentReference"/>
        </w:rPr>
        <w:annotationRef/>
      </w:r>
      <w:r>
        <w:t>This was originally:</w:t>
      </w:r>
    </w:p>
    <w:p w14:paraId="79BC9B20" w14:textId="445455BE" w:rsidR="004A3EB7" w:rsidRDefault="004A3EB7">
      <w:pPr>
        <w:pStyle w:val="CommentText"/>
      </w:pPr>
      <w:r>
        <w:t>50.</w:t>
      </w:r>
      <w:r w:rsidRPr="004A3EB7">
        <w:tab/>
      </w:r>
      <w:r>
        <w:t>Harmelink KEM, Zeegers A, Hullegie W, Hoogeboom TJ, Nijhuis-van der Sanden MWG, Staal JB. Are there prognostic factors for one-year outcome after total knee arthroplasty? A systematic review. J Arthroplasty. 2017;32(12):3840-53.e1.</w:t>
      </w:r>
    </w:p>
    <w:p w14:paraId="1695735F" w14:textId="134FDC21" w:rsidR="004A3EB7" w:rsidRDefault="004A3EB7">
      <w:pPr>
        <w:pStyle w:val="CommentText"/>
      </w:pPr>
    </w:p>
  </w:comment>
  <w:comment w:id="41" w:author="Norman" w:date="2022-08-25T14:29:00Z" w:initials="RM">
    <w:p w14:paraId="6D183B27" w14:textId="77777777" w:rsidR="004A3EB7" w:rsidRDefault="004A3EB7">
      <w:pPr>
        <w:pStyle w:val="CommentText"/>
      </w:pPr>
      <w:r>
        <w:rPr>
          <w:rStyle w:val="CommentReference"/>
        </w:rPr>
        <w:annotationRef/>
      </w:r>
      <w:r>
        <w:t>This was originally:</w:t>
      </w:r>
    </w:p>
    <w:p w14:paraId="4ABEBA1B" w14:textId="6F2C38C4" w:rsidR="004A3EB7" w:rsidRDefault="004A3EB7">
      <w:pPr>
        <w:pStyle w:val="CommentText"/>
      </w:pPr>
      <w:r>
        <w:t>51.</w:t>
      </w:r>
      <w:r w:rsidRPr="004A3EB7">
        <w:tab/>
      </w:r>
      <w:r>
        <w:t>Kuperman EF, Schweizer M, Joy P, Gu X, Fang MM. The effects of advanced age on primary total knee arthroplasty: a meta-analysis and systematic review. BMC Geriatr. 2016;16:41.</w:t>
      </w:r>
    </w:p>
    <w:p w14:paraId="3980E258" w14:textId="55A23456" w:rsidR="004A3EB7" w:rsidRDefault="004A3EB7">
      <w:pPr>
        <w:pStyle w:val="CommentText"/>
      </w:pPr>
    </w:p>
  </w:comment>
  <w:comment w:id="42" w:author="Norman" w:date="2022-08-25T14:29:00Z" w:initials="RM">
    <w:p w14:paraId="253C7B72" w14:textId="77777777" w:rsidR="004A3EB7" w:rsidRDefault="004A3EB7">
      <w:pPr>
        <w:pStyle w:val="CommentText"/>
      </w:pPr>
      <w:r>
        <w:rPr>
          <w:rStyle w:val="CommentReference"/>
        </w:rPr>
        <w:annotationRef/>
      </w:r>
      <w:r>
        <w:t>This was originally:</w:t>
      </w:r>
    </w:p>
    <w:p w14:paraId="0E433AB8" w14:textId="77BF8426" w:rsidR="004A3EB7" w:rsidRDefault="004A3EB7">
      <w:pPr>
        <w:pStyle w:val="CommentText"/>
      </w:pPr>
      <w:r>
        <w:t>52.</w:t>
      </w:r>
      <w:r w:rsidRPr="004A3EB7">
        <w:tab/>
      </w:r>
      <w:r>
        <w:t>Sayers A, Wylde V, Lenguerrand E, Beswick AD, Gooberman-Hill R, Pyke M, et al. Rest Pain and Movement-Evoked Pain as Unique Constructs in Hip and Knee Replacements. Arthritis Care Res (Hoboken). 2016;68(2):237-45.</w:t>
      </w:r>
    </w:p>
    <w:p w14:paraId="23BE4117" w14:textId="1C589B1C" w:rsidR="004A3EB7" w:rsidRDefault="004A3EB7">
      <w:pPr>
        <w:pStyle w:val="CommentText"/>
      </w:pPr>
    </w:p>
  </w:comment>
  <w:comment w:id="43" w:author="Norman" w:date="2022-08-25T14:29:00Z" w:initials="RM">
    <w:p w14:paraId="6BA86FCB" w14:textId="77777777" w:rsidR="004A3EB7" w:rsidRDefault="004A3EB7">
      <w:pPr>
        <w:pStyle w:val="CommentText"/>
      </w:pPr>
      <w:r>
        <w:rPr>
          <w:rStyle w:val="CommentReference"/>
        </w:rPr>
        <w:annotationRef/>
      </w:r>
      <w:r>
        <w:t>This was originally:</w:t>
      </w:r>
    </w:p>
    <w:p w14:paraId="1A5F4C3E" w14:textId="1DA905F4" w:rsidR="004A3EB7" w:rsidRDefault="004A3EB7">
      <w:pPr>
        <w:pStyle w:val="CommentText"/>
      </w:pPr>
      <w:r>
        <w:t>53.</w:t>
      </w:r>
      <w:r w:rsidRPr="004A3EB7">
        <w:tab/>
      </w:r>
      <w:r>
        <w:t>Vissers MM, Bussmann JB, Verhaar JA, Busschbach JJ, Bierma-Zeinstra SM, Reijman M. Psychological factors affecting the outcome of total hip and knee arthroplasty: a systematic review. Semin Arthritis Rheum. 2012;41(4):576-88.</w:t>
      </w:r>
    </w:p>
    <w:p w14:paraId="6005391C" w14:textId="37D5A673" w:rsidR="004A3EB7" w:rsidRDefault="004A3EB7">
      <w:pPr>
        <w:pStyle w:val="CommentText"/>
      </w:pPr>
    </w:p>
  </w:comment>
  <w:comment w:id="44" w:author="Norman" w:date="2022-08-25T14:29:00Z" w:initials="RM">
    <w:p w14:paraId="67DFF27C" w14:textId="77777777" w:rsidR="004A3EB7" w:rsidRDefault="004A3EB7">
      <w:pPr>
        <w:pStyle w:val="CommentText"/>
      </w:pPr>
      <w:r>
        <w:rPr>
          <w:rStyle w:val="CommentReference"/>
        </w:rPr>
        <w:annotationRef/>
      </w:r>
      <w:r>
        <w:t>This was originally:</w:t>
      </w:r>
    </w:p>
    <w:p w14:paraId="12CE89BE" w14:textId="1E79D7C4" w:rsidR="004A3EB7" w:rsidRDefault="004A3EB7">
      <w:pPr>
        <w:pStyle w:val="CommentText"/>
      </w:pPr>
      <w:r>
        <w:t>54.</w:t>
      </w:r>
      <w:r w:rsidRPr="004A3EB7">
        <w:tab/>
      </w:r>
      <w:r>
        <w:t>Judge A, Arden NK, Cooper C, Kassim Javaid M, Carr AJ, Field RE, et al. Predictors of outcomes of total knee replacement surgery. Rheumatology. 2012;51(10):1804-13.</w:t>
      </w:r>
    </w:p>
    <w:p w14:paraId="5E15DE6C" w14:textId="15665B70" w:rsidR="004A3EB7" w:rsidRDefault="004A3EB7">
      <w:pPr>
        <w:pStyle w:val="CommentText"/>
      </w:pPr>
    </w:p>
  </w:comment>
  <w:comment w:id="45" w:author="Norman" w:date="2022-08-25T14:29:00Z" w:initials="RM">
    <w:p w14:paraId="5EA9C3C6" w14:textId="77777777" w:rsidR="004A3EB7" w:rsidRDefault="004A3EB7">
      <w:pPr>
        <w:pStyle w:val="CommentText"/>
      </w:pPr>
      <w:r>
        <w:rPr>
          <w:rStyle w:val="CommentReference"/>
        </w:rPr>
        <w:annotationRef/>
      </w:r>
      <w:r>
        <w:t>This was originally:</w:t>
      </w:r>
    </w:p>
    <w:p w14:paraId="72B21429" w14:textId="0257FFB3" w:rsidR="004A3EB7" w:rsidRDefault="004A3EB7">
      <w:pPr>
        <w:pStyle w:val="CommentText"/>
      </w:pPr>
      <w:r>
        <w:t>55.</w:t>
      </w:r>
      <w:r w:rsidRPr="004A3EB7">
        <w:tab/>
      </w:r>
      <w:r>
        <w:t>Lopez-Olivo MA, Landon GC, Siff SJ, Edelstein D, Pak C, Kallen MA, et al. Psychosocial determinants of outcomes in knee replacement. Ann Rheum Dis. 2011;70(10):1775-81.</w:t>
      </w:r>
    </w:p>
    <w:p w14:paraId="0141D5FB" w14:textId="31C8780B" w:rsidR="004A3EB7" w:rsidRDefault="004A3EB7">
      <w:pPr>
        <w:pStyle w:val="CommentText"/>
      </w:pPr>
    </w:p>
  </w:comment>
  <w:comment w:id="46" w:author="Norman" w:date="2022-08-25T14:29:00Z" w:initials="RM">
    <w:p w14:paraId="746B4BF1" w14:textId="77777777" w:rsidR="004A3EB7" w:rsidRDefault="004A3EB7">
      <w:pPr>
        <w:pStyle w:val="CommentText"/>
      </w:pPr>
      <w:r>
        <w:rPr>
          <w:rStyle w:val="CommentReference"/>
        </w:rPr>
        <w:annotationRef/>
      </w:r>
      <w:r>
        <w:t>This was originally:</w:t>
      </w:r>
    </w:p>
    <w:p w14:paraId="58DB1612" w14:textId="62CEAD29" w:rsidR="004A3EB7" w:rsidRDefault="004A3EB7">
      <w:pPr>
        <w:pStyle w:val="CommentText"/>
      </w:pPr>
      <w:r>
        <w:t>56.</w:t>
      </w:r>
      <w:r w:rsidRPr="004A3EB7">
        <w:tab/>
      </w:r>
      <w:r>
        <w:t>Macrae WA. Chronic post-surgical pain: 10 years on. Br J Anaesth. 2008;101(1):77-86.</w:t>
      </w:r>
    </w:p>
    <w:p w14:paraId="421068B7" w14:textId="534D55A2" w:rsidR="004A3EB7" w:rsidRDefault="004A3EB7">
      <w:pPr>
        <w:pStyle w:val="CommentText"/>
      </w:pPr>
    </w:p>
  </w:comment>
  <w:comment w:id="47" w:author="Norman" w:date="2022-08-25T14:29:00Z" w:initials="RM">
    <w:p w14:paraId="2B9A6AD4" w14:textId="77777777" w:rsidR="004A3EB7" w:rsidRDefault="004A3EB7">
      <w:pPr>
        <w:pStyle w:val="CommentText"/>
      </w:pPr>
      <w:r>
        <w:rPr>
          <w:rStyle w:val="CommentReference"/>
        </w:rPr>
        <w:annotationRef/>
      </w:r>
      <w:r>
        <w:t>This was originally:</w:t>
      </w:r>
    </w:p>
    <w:p w14:paraId="68D56B94" w14:textId="02BB7AB1" w:rsidR="004A3EB7" w:rsidRDefault="004A3EB7">
      <w:pPr>
        <w:pStyle w:val="CommentText"/>
      </w:pPr>
      <w:r>
        <w:t>57.</w:t>
      </w:r>
      <w:r w:rsidRPr="004A3EB7">
        <w:tab/>
      </w:r>
      <w:r>
        <w:t>Peters ML, Sommer M, de Rijke JM, Kessels F, Heineman E, Patijn J, et al. Somatic and psychologic predictors of long-term unfavorable outcome after surgical intervention. Ann Surg. 2007;245(3):487-94.</w:t>
      </w:r>
    </w:p>
    <w:p w14:paraId="7A53BB91" w14:textId="5E01097A" w:rsidR="004A3EB7" w:rsidRDefault="004A3EB7">
      <w:pPr>
        <w:pStyle w:val="CommentText"/>
      </w:pPr>
    </w:p>
  </w:comment>
  <w:comment w:id="48" w:author="Norman" w:date="2022-08-25T14:29:00Z" w:initials="RM">
    <w:p w14:paraId="4067051A" w14:textId="77777777" w:rsidR="004A3EB7" w:rsidRDefault="004A3EB7">
      <w:pPr>
        <w:pStyle w:val="CommentText"/>
      </w:pPr>
      <w:r>
        <w:rPr>
          <w:rStyle w:val="CommentReference"/>
        </w:rPr>
        <w:annotationRef/>
      </w:r>
      <w:r>
        <w:t>This was originally:</w:t>
      </w:r>
    </w:p>
    <w:p w14:paraId="0BE4E063" w14:textId="5C146646" w:rsidR="004A3EB7" w:rsidRDefault="004A3EB7">
      <w:pPr>
        <w:pStyle w:val="CommentText"/>
      </w:pPr>
      <w:r>
        <w:t>58.</w:t>
      </w:r>
      <w:r w:rsidRPr="004A3EB7">
        <w:tab/>
      </w:r>
      <w:r>
        <w:t>Krenzel BA, Cook C, Martin GN, Vail TP, Attarian DE, Bolognesi MP. Posterior capsular injections of ropivacaine during total knee arthroplasty: a randomized, double-blind, placebo-controlled study. J Arthroplasty. 2009;24(6 Suppl):138-43.</w:t>
      </w:r>
    </w:p>
    <w:p w14:paraId="6BC0A8F0" w14:textId="49097BF2" w:rsidR="004A3EB7" w:rsidRDefault="004A3EB7">
      <w:pPr>
        <w:pStyle w:val="CommentText"/>
      </w:pPr>
    </w:p>
  </w:comment>
  <w:comment w:id="49" w:author="Norman" w:date="2022-08-25T14:29:00Z" w:initials="RM">
    <w:p w14:paraId="12BFEEB6" w14:textId="77777777" w:rsidR="004A3EB7" w:rsidRDefault="004A3EB7">
      <w:pPr>
        <w:pStyle w:val="CommentText"/>
      </w:pPr>
      <w:r>
        <w:rPr>
          <w:rStyle w:val="CommentReference"/>
        </w:rPr>
        <w:annotationRef/>
      </w:r>
      <w:r>
        <w:t>This was originally:</w:t>
      </w:r>
    </w:p>
    <w:p w14:paraId="0045C860" w14:textId="5E4F5F6D" w:rsidR="004A3EB7" w:rsidRDefault="004A3EB7">
      <w:pPr>
        <w:pStyle w:val="CommentText"/>
      </w:pPr>
      <w:r>
        <w:t>59.</w:t>
      </w:r>
      <w:r w:rsidRPr="004A3EB7">
        <w:tab/>
      </w:r>
      <w:r>
        <w:t>Toftdahl K, Nikolajsen L, Haraldsted V, Madsen F, Tonnesen EK, Soballe K. Comparison of peri- and intraarticular analgesia with femoral nerve block after total knee arthroplasty: a randomized clinical trial. Acta Orthop. 2007;78(2):172-9.</w:t>
      </w:r>
    </w:p>
    <w:p w14:paraId="3DBD8A17" w14:textId="68CFA04E" w:rsidR="004A3EB7" w:rsidRDefault="004A3EB7">
      <w:pPr>
        <w:pStyle w:val="CommentText"/>
      </w:pPr>
    </w:p>
  </w:comment>
  <w:comment w:id="50" w:author="Norman" w:date="2022-08-25T14:29:00Z" w:initials="RM">
    <w:p w14:paraId="2C24A33D" w14:textId="77777777" w:rsidR="004A3EB7" w:rsidRDefault="004A3EB7">
      <w:pPr>
        <w:pStyle w:val="CommentText"/>
      </w:pPr>
      <w:r>
        <w:rPr>
          <w:rStyle w:val="CommentReference"/>
        </w:rPr>
        <w:annotationRef/>
      </w:r>
      <w:r>
        <w:t>This was originally:</w:t>
      </w:r>
    </w:p>
    <w:p w14:paraId="005B3205" w14:textId="54425506" w:rsidR="004A3EB7" w:rsidRDefault="004A3EB7">
      <w:pPr>
        <w:pStyle w:val="CommentText"/>
      </w:pPr>
      <w:r>
        <w:t>60.</w:t>
      </w:r>
      <w:r w:rsidRPr="004A3EB7">
        <w:tab/>
      </w:r>
      <w:r>
        <w:t>Wylde V, Lenguerrand E, Gooberman-Hill R, Beswick AD, Marques E, Noble S, et al. Effect of local anaesthetic infiltration on chronic postsurgical pain after total hip and knee replacement: the APEX randomised controlled trials. Pain. 2015;156(6):1161-70.</w:t>
      </w:r>
    </w:p>
    <w:p w14:paraId="6626915C" w14:textId="0809F07A" w:rsidR="004A3EB7" w:rsidRDefault="004A3EB7">
      <w:pPr>
        <w:pStyle w:val="CommentText"/>
      </w:pPr>
    </w:p>
  </w:comment>
  <w:comment w:id="51" w:author="Norman" w:date="2022-08-25T14:29:00Z" w:initials="RM">
    <w:p w14:paraId="64A5509A" w14:textId="77777777" w:rsidR="004A3EB7" w:rsidRDefault="004A3EB7">
      <w:pPr>
        <w:pStyle w:val="CommentText"/>
      </w:pPr>
      <w:r>
        <w:rPr>
          <w:rStyle w:val="CommentReference"/>
        </w:rPr>
        <w:annotationRef/>
      </w:r>
      <w:r>
        <w:t>This was originally:</w:t>
      </w:r>
    </w:p>
    <w:p w14:paraId="133E2046" w14:textId="093EE201" w:rsidR="004A3EB7" w:rsidRDefault="004A3EB7">
      <w:pPr>
        <w:pStyle w:val="CommentText"/>
      </w:pPr>
      <w:r>
        <w:t>61.</w:t>
      </w:r>
      <w:r w:rsidRPr="004A3EB7">
        <w:tab/>
      </w:r>
      <w:r>
        <w:t>Shipton EA, Tait B. Flagging the pain: preventing the burden of chronic pain by identifying and treating risk factors in acute pain. Eur J Anaesthesiol. 2005;22(6):405-12.</w:t>
      </w:r>
    </w:p>
    <w:p w14:paraId="412FDF0B" w14:textId="35121F0E" w:rsidR="004A3EB7" w:rsidRDefault="004A3EB7">
      <w:pPr>
        <w:pStyle w:val="CommentText"/>
      </w:pPr>
    </w:p>
  </w:comment>
  <w:comment w:id="52" w:author="Norman" w:date="2022-08-25T14:29:00Z" w:initials="RM">
    <w:p w14:paraId="4F7C8612" w14:textId="77777777" w:rsidR="004A3EB7" w:rsidRDefault="004A3EB7">
      <w:pPr>
        <w:pStyle w:val="CommentText"/>
      </w:pPr>
      <w:r>
        <w:rPr>
          <w:rStyle w:val="CommentReference"/>
        </w:rPr>
        <w:annotationRef/>
      </w:r>
      <w:r>
        <w:t>This was originally:</w:t>
      </w:r>
    </w:p>
    <w:p w14:paraId="7D17E557" w14:textId="247B0E74" w:rsidR="004A3EB7" w:rsidRDefault="004A3EB7">
      <w:pPr>
        <w:pStyle w:val="CommentText"/>
      </w:pPr>
      <w:r>
        <w:t>62.</w:t>
      </w:r>
      <w:r w:rsidRPr="004A3EB7">
        <w:tab/>
      </w:r>
      <w:r>
        <w:t>Wang L, Lee M, Zhang Z, Moodie J, Cheng D, Martin J. Does preoperative rehabilitation for patients planning to undergo joint replacement surgery improve outcomes? A systematic review and meta-analysis of randomised controlled trials. BMJ Open. 2016;6(2):e009857.</w:t>
      </w:r>
    </w:p>
    <w:p w14:paraId="4E5D8E8C" w14:textId="10508C02" w:rsidR="004A3EB7" w:rsidRDefault="004A3EB7">
      <w:pPr>
        <w:pStyle w:val="CommentText"/>
      </w:pPr>
    </w:p>
  </w:comment>
  <w:comment w:id="53" w:author="Norman" w:date="2022-08-25T14:29:00Z" w:initials="RM">
    <w:p w14:paraId="44FC3C0A" w14:textId="77777777" w:rsidR="004A3EB7" w:rsidRDefault="004A3EB7">
      <w:pPr>
        <w:pStyle w:val="CommentText"/>
      </w:pPr>
      <w:r>
        <w:rPr>
          <w:rStyle w:val="CommentReference"/>
        </w:rPr>
        <w:annotationRef/>
      </w:r>
      <w:r>
        <w:t>This was originally:</w:t>
      </w:r>
    </w:p>
    <w:p w14:paraId="357DF4AB" w14:textId="5C749A73" w:rsidR="004A3EB7" w:rsidRDefault="004A3EB7">
      <w:pPr>
        <w:pStyle w:val="CommentText"/>
      </w:pPr>
      <w:r>
        <w:t>63.</w:t>
      </w:r>
      <w:r w:rsidRPr="004A3EB7">
        <w:tab/>
      </w:r>
      <w:r>
        <w:t>Ashrani AA, Heit JA. Incidence and cost burden of post-thrombotic syndrome. J Thromb Thrombolysis. 2009;28(4):465-76.</w:t>
      </w:r>
    </w:p>
    <w:p w14:paraId="6CE7615A" w14:textId="1B981C2F" w:rsidR="004A3EB7" w:rsidRDefault="004A3EB7">
      <w:pPr>
        <w:pStyle w:val="CommentText"/>
      </w:pPr>
    </w:p>
  </w:comment>
  <w:comment w:id="54" w:author="Norman" w:date="2022-08-25T14:29:00Z" w:initials="RM">
    <w:p w14:paraId="52E9949B" w14:textId="77777777" w:rsidR="004A3EB7" w:rsidRDefault="004A3EB7">
      <w:pPr>
        <w:pStyle w:val="CommentText"/>
      </w:pPr>
      <w:r>
        <w:rPr>
          <w:rStyle w:val="CommentReference"/>
        </w:rPr>
        <w:annotationRef/>
      </w:r>
      <w:r>
        <w:t>This was originally:</w:t>
      </w:r>
    </w:p>
    <w:p w14:paraId="4DBD0E36" w14:textId="7F524B5C" w:rsidR="004A3EB7" w:rsidRDefault="004A3EB7">
      <w:pPr>
        <w:pStyle w:val="CommentText"/>
      </w:pPr>
      <w:r>
        <w:t>64.</w:t>
      </w:r>
      <w:r w:rsidRPr="004A3EB7">
        <w:tab/>
      </w:r>
      <w:r>
        <w:t>Dreyer HC. Tourniquet use during knee replacement surgery may contribute to muscle atrophy in older adults. Exerc Sport Sci Rev. 2016;44(2):61-70.</w:t>
      </w:r>
    </w:p>
    <w:p w14:paraId="6C5643BA" w14:textId="65F6F25F" w:rsidR="004A3EB7" w:rsidRDefault="004A3EB7">
      <w:pPr>
        <w:pStyle w:val="CommentText"/>
      </w:pPr>
    </w:p>
  </w:comment>
  <w:comment w:id="55" w:author="Norman" w:date="2022-08-25T14:29:00Z" w:initials="RM">
    <w:p w14:paraId="2C520D9C" w14:textId="77777777" w:rsidR="004A3EB7" w:rsidRDefault="004A3EB7">
      <w:pPr>
        <w:pStyle w:val="CommentText"/>
      </w:pPr>
      <w:r>
        <w:rPr>
          <w:rStyle w:val="CommentReference"/>
        </w:rPr>
        <w:annotationRef/>
      </w:r>
      <w:r>
        <w:t>This was originally:</w:t>
      </w:r>
    </w:p>
    <w:p w14:paraId="6A9FFD9F" w14:textId="1C0DBE1F" w:rsidR="004A3EB7" w:rsidRDefault="004A3EB7">
      <w:pPr>
        <w:pStyle w:val="CommentText"/>
      </w:pPr>
      <w:r>
        <w:t>65.</w:t>
      </w:r>
      <w:r w:rsidRPr="004A3EB7">
        <w:tab/>
      </w:r>
      <w:r>
        <w:t>Kindsfater K, Scott R. Recurrent hemarthrosis after total knee arthroplasty. J Arthroplasty. 1995;10:S52-S5.</w:t>
      </w:r>
    </w:p>
    <w:p w14:paraId="677882DE" w14:textId="62E0F190" w:rsidR="004A3EB7" w:rsidRDefault="004A3EB7">
      <w:pPr>
        <w:pStyle w:val="CommentText"/>
      </w:pPr>
    </w:p>
  </w:comment>
  <w:comment w:id="56" w:author="Norman" w:date="2022-08-25T14:29:00Z" w:initials="RM">
    <w:p w14:paraId="77161B11" w14:textId="77777777" w:rsidR="004A3EB7" w:rsidRDefault="004A3EB7">
      <w:pPr>
        <w:pStyle w:val="CommentText"/>
      </w:pPr>
      <w:r>
        <w:rPr>
          <w:rStyle w:val="CommentReference"/>
        </w:rPr>
        <w:annotationRef/>
      </w:r>
      <w:r>
        <w:t>This was originally:</w:t>
      </w:r>
    </w:p>
    <w:p w14:paraId="4612C8F5" w14:textId="7514421C" w:rsidR="004A3EB7" w:rsidRDefault="004A3EB7">
      <w:pPr>
        <w:pStyle w:val="CommentText"/>
      </w:pPr>
      <w:r>
        <w:t>67.</w:t>
      </w:r>
      <w:r w:rsidRPr="004A3EB7">
        <w:tab/>
      </w:r>
      <w:r>
        <w:t>Artz N, Dixon S, Wylde V, Beswick A, Blom A, Gooberman-Hill R. Physiotherapy provision following discharge after total hip and total knee replacement: A survey of current practice at high-volume NHS hospitals in England and Wales. Musculoskeletal Care. 2013;11(1):31-8.</w:t>
      </w:r>
    </w:p>
    <w:p w14:paraId="0618CDB8" w14:textId="335B0670" w:rsidR="004A3EB7" w:rsidRDefault="004A3EB7">
      <w:pPr>
        <w:pStyle w:val="CommentText"/>
      </w:pPr>
    </w:p>
  </w:comment>
  <w:comment w:id="57" w:author="Norman" w:date="2022-08-25T14:29:00Z" w:initials="RM">
    <w:p w14:paraId="30720874" w14:textId="77777777" w:rsidR="004A3EB7" w:rsidRDefault="004A3EB7">
      <w:pPr>
        <w:pStyle w:val="CommentText"/>
      </w:pPr>
      <w:r>
        <w:rPr>
          <w:rStyle w:val="CommentReference"/>
        </w:rPr>
        <w:annotationRef/>
      </w:r>
      <w:r>
        <w:t>This was originally:</w:t>
      </w:r>
    </w:p>
    <w:p w14:paraId="200114B5" w14:textId="1AFE2C5B" w:rsidR="004A3EB7" w:rsidRDefault="004A3EB7">
      <w:pPr>
        <w:pStyle w:val="CommentText"/>
      </w:pPr>
      <w:r>
        <w:t>68.</w:t>
      </w:r>
      <w:r w:rsidRPr="004A3EB7">
        <w:tab/>
      </w:r>
      <w:r>
        <w:t>Artz N, Elvers KT, Lowe CM, Sackley C, Jepson P, Beswick AD. Effectiveness of physiotherapy exercise following total knee replacement: systematic review and meta-analysis. BMC Musculoskelet Disord. 2015;16:15.</w:t>
      </w:r>
    </w:p>
    <w:p w14:paraId="4681E5B8" w14:textId="21BB0D7C" w:rsidR="004A3EB7" w:rsidRDefault="004A3EB7">
      <w:pPr>
        <w:pStyle w:val="CommentText"/>
      </w:pPr>
    </w:p>
  </w:comment>
  <w:comment w:id="58" w:author="Norman" w:date="2022-08-25T14:29:00Z" w:initials="RM">
    <w:p w14:paraId="122A93B7" w14:textId="77777777" w:rsidR="004A3EB7" w:rsidRDefault="004A3EB7">
      <w:pPr>
        <w:pStyle w:val="CommentText"/>
      </w:pPr>
      <w:r>
        <w:rPr>
          <w:rStyle w:val="CommentReference"/>
        </w:rPr>
        <w:annotationRef/>
      </w:r>
      <w:r>
        <w:t>This was originally:</w:t>
      </w:r>
    </w:p>
    <w:p w14:paraId="56681E5E" w14:textId="08FEBDE2" w:rsidR="004A3EB7" w:rsidRDefault="004A3EB7">
      <w:pPr>
        <w:pStyle w:val="CommentText"/>
      </w:pPr>
      <w:r>
        <w:t>69.</w:t>
      </w:r>
      <w:r w:rsidRPr="004A3EB7">
        <w:tab/>
      </w:r>
      <w:r>
        <w:t>Hamilton DF, Beard DJ, Barker KL, Macfarlane GJ, Tuck CE, Stoddart A, et al. Targeting rehabilitation to improve outcomes after total knee arthroplasty in patients at risk of poor outcomes: randomised controlled trial. BMJ. 2020;371:m3576.</w:t>
      </w:r>
    </w:p>
    <w:p w14:paraId="4D5AD58F" w14:textId="4E921CCF" w:rsidR="004A3EB7" w:rsidRDefault="004A3EB7">
      <w:pPr>
        <w:pStyle w:val="CommentText"/>
      </w:pPr>
    </w:p>
  </w:comment>
  <w:comment w:id="59" w:author="Norman" w:date="2022-08-25T14:29:00Z" w:initials="RM">
    <w:p w14:paraId="574E48C1" w14:textId="77777777" w:rsidR="004A3EB7" w:rsidRDefault="004A3EB7">
      <w:pPr>
        <w:pStyle w:val="CommentText"/>
      </w:pPr>
      <w:r>
        <w:rPr>
          <w:rStyle w:val="CommentReference"/>
        </w:rPr>
        <w:annotationRef/>
      </w:r>
      <w:r>
        <w:t>This was originally:</w:t>
      </w:r>
    </w:p>
    <w:p w14:paraId="3F007B5F" w14:textId="0B3E5900" w:rsidR="004A3EB7" w:rsidRDefault="004A3EB7">
      <w:pPr>
        <w:pStyle w:val="CommentText"/>
      </w:pPr>
      <w:r>
        <w:t>70.</w:t>
      </w:r>
      <w:r w:rsidRPr="004A3EB7">
        <w:tab/>
      </w:r>
      <w:r>
        <w:t>Khan F, Ng L, Gonzalez S, Hale T, Turner-Stokes L. Multidisciplinary rehabilitation programmes following joint replacement at the hip and knee in chronic arthropathy. Cochrane Database Syst Rev. 2008(2).</w:t>
      </w:r>
    </w:p>
    <w:p w14:paraId="0D45C353" w14:textId="77777777" w:rsidR="004A3EB7" w:rsidRDefault="004A3EB7">
      <w:pPr>
        <w:pStyle w:val="CommentText"/>
      </w:pPr>
    </w:p>
    <w:p w14:paraId="0C1244F0" w14:textId="175B4DFE" w:rsidR="004A3EB7" w:rsidRDefault="004A3EB7">
      <w:pPr>
        <w:pStyle w:val="CommentText"/>
      </w:pPr>
      <w:r>
        <w:t>WARNING: POTENTIAL FALSE POSITIVE: Please check carefully.</w:t>
      </w:r>
    </w:p>
  </w:comment>
  <w:comment w:id="60" w:author="NIHR standard" w:date="2022-08-25T14:29:00Z" w:initials="RM">
    <w:p w14:paraId="24CBC298" w14:textId="50D9C318" w:rsidR="004A3EB7" w:rsidRDefault="004A3EB7">
      <w:pPr>
        <w:pStyle w:val="CommentText"/>
      </w:pPr>
      <w:r>
        <w:rPr>
          <w:rStyle w:val="CommentReference"/>
        </w:rPr>
        <w:annotationRef/>
      </w:r>
      <w:r>
        <w:t>The page range has been amended to match that in PubMed; OK?</w:t>
      </w:r>
    </w:p>
  </w:comment>
  <w:comment w:id="61" w:author="Norman" w:date="2022-08-25T14:29:00Z" w:initials="RM">
    <w:p w14:paraId="447C7D68" w14:textId="77777777" w:rsidR="004A3EB7" w:rsidRDefault="004A3EB7">
      <w:pPr>
        <w:pStyle w:val="CommentText"/>
      </w:pPr>
      <w:r>
        <w:rPr>
          <w:rStyle w:val="CommentReference"/>
        </w:rPr>
        <w:annotationRef/>
      </w:r>
      <w:r>
        <w:t>This was originally:</w:t>
      </w:r>
    </w:p>
    <w:p w14:paraId="1C031411" w14:textId="122836D1" w:rsidR="004A3EB7" w:rsidRDefault="004A3EB7">
      <w:pPr>
        <w:pStyle w:val="CommentText"/>
      </w:pPr>
      <w:r>
        <w:t>71.</w:t>
      </w:r>
      <w:r w:rsidRPr="004A3EB7">
        <w:tab/>
      </w:r>
      <w:r>
        <w:t>Turk DC, Wilson HD, Cahana A. Treatment of chronic non-cancer pain. Lancet. 2011;377(9784):2226-35.</w:t>
      </w:r>
    </w:p>
    <w:p w14:paraId="263F1575" w14:textId="76E3CB81" w:rsidR="004A3EB7" w:rsidRDefault="004A3EB7">
      <w:pPr>
        <w:pStyle w:val="CommentText"/>
      </w:pPr>
    </w:p>
  </w:comment>
  <w:comment w:id="62" w:author="Norman" w:date="2022-08-25T14:29:00Z" w:initials="RM">
    <w:p w14:paraId="55F6D1F4" w14:textId="77777777" w:rsidR="004A3EB7" w:rsidRDefault="004A3EB7">
      <w:pPr>
        <w:pStyle w:val="CommentText"/>
      </w:pPr>
      <w:r>
        <w:rPr>
          <w:rStyle w:val="CommentReference"/>
        </w:rPr>
        <w:annotationRef/>
      </w:r>
      <w:r>
        <w:t>This was originally:</w:t>
      </w:r>
    </w:p>
    <w:p w14:paraId="7AE6755B" w14:textId="3FEC2535" w:rsidR="004A3EB7" w:rsidRDefault="004A3EB7">
      <w:pPr>
        <w:pStyle w:val="CommentText"/>
      </w:pPr>
      <w:r>
        <w:t>72.</w:t>
      </w:r>
      <w:r w:rsidRPr="004A3EB7">
        <w:tab/>
      </w:r>
      <w:r>
        <w:t>Whale K, Wylde V, Beswick A, Rathbone J, Vedhara K, Gooberman-Hill R. Effectiveness and reporting standards of psychological interventions for improving short-term and long-term pain outcomes after total knee replacement: a systematic review. BMJ Open. 2019;9(12):e029742.</w:t>
      </w:r>
    </w:p>
    <w:p w14:paraId="61D6D7C7" w14:textId="7A611EC5" w:rsidR="004A3EB7" w:rsidRDefault="004A3EB7">
      <w:pPr>
        <w:pStyle w:val="CommentText"/>
      </w:pPr>
    </w:p>
  </w:comment>
  <w:comment w:id="63" w:author="Norman" w:date="2022-08-25T14:29:00Z" w:initials="RM">
    <w:p w14:paraId="4B8B2027" w14:textId="77777777" w:rsidR="004A3EB7" w:rsidRDefault="004A3EB7">
      <w:pPr>
        <w:pStyle w:val="CommentText"/>
      </w:pPr>
      <w:r>
        <w:rPr>
          <w:rStyle w:val="CommentReference"/>
        </w:rPr>
        <w:annotationRef/>
      </w:r>
      <w:r>
        <w:t>This was originally:</w:t>
      </w:r>
    </w:p>
    <w:p w14:paraId="6E5E5D9E" w14:textId="2C3AA238" w:rsidR="004A3EB7" w:rsidRDefault="004A3EB7">
      <w:pPr>
        <w:pStyle w:val="CommentText"/>
      </w:pPr>
      <w:r>
        <w:t>73.</w:t>
      </w:r>
      <w:r w:rsidRPr="004A3EB7">
        <w:tab/>
      </w:r>
      <w:r>
        <w:t>Woolf AD, Zeidler H, Haglund U, Carr AJ, Chaussade S, Cucinotta D, et al. Musculoskeletal pain in Europe: its impact and a comparison of population and medical perceptions of treatment in eight European countries. Ann Rheum Dis. 2004;63(4):342-7.</w:t>
      </w:r>
    </w:p>
    <w:p w14:paraId="40EFD6BA" w14:textId="1F3C7B99" w:rsidR="004A3EB7" w:rsidRDefault="004A3EB7">
      <w:pPr>
        <w:pStyle w:val="CommentText"/>
      </w:pPr>
    </w:p>
  </w:comment>
  <w:comment w:id="64" w:author="Norman" w:date="2022-08-25T14:29:00Z" w:initials="RM">
    <w:p w14:paraId="4B5CE5A0" w14:textId="77777777" w:rsidR="004A3EB7" w:rsidRDefault="004A3EB7">
      <w:pPr>
        <w:pStyle w:val="CommentText"/>
      </w:pPr>
      <w:r>
        <w:rPr>
          <w:rStyle w:val="CommentReference"/>
        </w:rPr>
        <w:annotationRef/>
      </w:r>
      <w:r>
        <w:t>This was originally:</w:t>
      </w:r>
    </w:p>
    <w:p w14:paraId="0A1092FA" w14:textId="763607B3" w:rsidR="004A3EB7" w:rsidRDefault="004A3EB7">
      <w:pPr>
        <w:pStyle w:val="CommentText"/>
      </w:pPr>
      <w:r>
        <w:t>74.</w:t>
      </w:r>
      <w:r w:rsidRPr="004A3EB7">
        <w:tab/>
      </w:r>
      <w:r>
        <w:t>Thorstensson C, Gooberman-Hill R, Adamson J, Williams S, Dieppe P. Help-seeking behaviour among people living with chronic hip or knee pain in the community. BMC Musculoskelet Disord. 2009;10(1):153.</w:t>
      </w:r>
    </w:p>
    <w:p w14:paraId="3CE863A0" w14:textId="45E1FF6B" w:rsidR="004A3EB7" w:rsidRDefault="004A3EB7">
      <w:pPr>
        <w:pStyle w:val="CommentText"/>
      </w:pPr>
    </w:p>
  </w:comment>
  <w:comment w:id="65" w:author="Norman" w:date="2022-08-25T14:29:00Z" w:initials="RM">
    <w:p w14:paraId="1B441C1F" w14:textId="77777777" w:rsidR="004A3EB7" w:rsidRDefault="004A3EB7">
      <w:pPr>
        <w:pStyle w:val="CommentText"/>
      </w:pPr>
      <w:r>
        <w:rPr>
          <w:rStyle w:val="CommentReference"/>
        </w:rPr>
        <w:annotationRef/>
      </w:r>
      <w:r>
        <w:t>This was originally:</w:t>
      </w:r>
    </w:p>
    <w:p w14:paraId="1BAE75AD" w14:textId="4A81FCB4" w:rsidR="004A3EB7" w:rsidRDefault="004A3EB7">
      <w:pPr>
        <w:pStyle w:val="CommentText"/>
      </w:pPr>
      <w:r>
        <w:t>77.</w:t>
      </w:r>
      <w:r w:rsidRPr="004A3EB7">
        <w:tab/>
      </w:r>
      <w:r>
        <w:t>Stannard C, Johnson M. Chronic pain management--can we do better? An interview-based survey in primary care. Curr Med Res Opin. 2003;19(8):703-6.</w:t>
      </w:r>
    </w:p>
    <w:p w14:paraId="75BB7C0B" w14:textId="1EF798D2" w:rsidR="004A3EB7" w:rsidRDefault="004A3EB7">
      <w:pPr>
        <w:pStyle w:val="CommentText"/>
      </w:pPr>
    </w:p>
  </w:comment>
  <w:comment w:id="66" w:author="Norman" w:date="2022-08-25T14:29:00Z" w:initials="RM">
    <w:p w14:paraId="49AA491B" w14:textId="77777777" w:rsidR="004A3EB7" w:rsidRDefault="004A3EB7">
      <w:pPr>
        <w:pStyle w:val="CommentText"/>
      </w:pPr>
      <w:r>
        <w:rPr>
          <w:rStyle w:val="CommentReference"/>
        </w:rPr>
        <w:annotationRef/>
      </w:r>
      <w:r>
        <w:t>This was originally:</w:t>
      </w:r>
    </w:p>
    <w:p w14:paraId="782430DF" w14:textId="5CE04D45" w:rsidR="004A3EB7" w:rsidRDefault="004A3EB7">
      <w:pPr>
        <w:pStyle w:val="CommentText"/>
      </w:pPr>
      <w:r>
        <w:t>78.</w:t>
      </w:r>
      <w:r w:rsidRPr="004A3EB7">
        <w:tab/>
      </w:r>
      <w:r>
        <w:t>Abdulla A, Adams N, Bone M, Elliott AM, Gaffin J, Jones D, et al. Guidance on the management of pain in older people. Age Ageing. 2013;42 Suppl 1:i1-57.</w:t>
      </w:r>
    </w:p>
    <w:p w14:paraId="4E80AEE7" w14:textId="24C36C73" w:rsidR="004A3EB7" w:rsidRDefault="004A3EB7">
      <w:pPr>
        <w:pStyle w:val="CommentText"/>
      </w:pPr>
    </w:p>
  </w:comment>
  <w:comment w:id="67" w:author="Norman" w:date="2022-08-25T14:30:00Z" w:initials="RM">
    <w:p w14:paraId="2DBEB4E1" w14:textId="77777777" w:rsidR="004A3EB7" w:rsidRDefault="004A3EB7">
      <w:pPr>
        <w:pStyle w:val="CommentText"/>
      </w:pPr>
      <w:r>
        <w:rPr>
          <w:rStyle w:val="CommentReference"/>
        </w:rPr>
        <w:annotationRef/>
      </w:r>
      <w:r>
        <w:t>This was originally:</w:t>
      </w:r>
    </w:p>
    <w:p w14:paraId="63759FFE" w14:textId="5B723DCC" w:rsidR="004A3EB7" w:rsidRDefault="004A3EB7">
      <w:pPr>
        <w:pStyle w:val="CommentText"/>
      </w:pPr>
      <w:r>
        <w:t>79.</w:t>
      </w:r>
      <w:r w:rsidRPr="004A3EB7">
        <w:tab/>
      </w:r>
      <w:r>
        <w:t>Biddle L, Donovan J, Sharp D, Gunnell D. Explaining non-help-seeking amongst young adults with mental distress: a dynamic interpretive model of illness behaviour. Sociol Health Illn. 2007;29(7):983-1002.</w:t>
      </w:r>
    </w:p>
    <w:p w14:paraId="43484854" w14:textId="082DE34C" w:rsidR="004A3EB7" w:rsidRDefault="004A3EB7">
      <w:pPr>
        <w:pStyle w:val="CommentText"/>
      </w:pPr>
    </w:p>
  </w:comment>
  <w:comment w:id="68" w:author="Norman" w:date="2022-08-25T14:30:00Z" w:initials="RM">
    <w:p w14:paraId="6E100FD4" w14:textId="77777777" w:rsidR="004A3EB7" w:rsidRDefault="004A3EB7">
      <w:pPr>
        <w:pStyle w:val="CommentText"/>
      </w:pPr>
      <w:r>
        <w:rPr>
          <w:rStyle w:val="CommentReference"/>
        </w:rPr>
        <w:annotationRef/>
      </w:r>
      <w:r>
        <w:t>This was originally:</w:t>
      </w:r>
    </w:p>
    <w:p w14:paraId="1687AB32" w14:textId="149968AC" w:rsidR="004A3EB7" w:rsidRDefault="004A3EB7">
      <w:pPr>
        <w:pStyle w:val="CommentText"/>
      </w:pPr>
      <w:r>
        <w:t>80.</w:t>
      </w:r>
      <w:r w:rsidRPr="004A3EB7">
        <w:tab/>
      </w:r>
      <w:r>
        <w:t>Dawson J, Fitzpatrick R, Murray D, Carr A. Questionnaire on the perceptions of patients about total knee replacement. J Bone Joint Surg Br. 1998;80(1):63-9.</w:t>
      </w:r>
    </w:p>
    <w:p w14:paraId="2D6139DA" w14:textId="793C39F0" w:rsidR="004A3EB7" w:rsidRDefault="004A3EB7">
      <w:pPr>
        <w:pStyle w:val="CommentText"/>
      </w:pPr>
    </w:p>
  </w:comment>
  <w:comment w:id="69" w:author="Norman" w:date="2022-08-25T14:30:00Z" w:initials="RM">
    <w:p w14:paraId="1E9FCDBC" w14:textId="77777777" w:rsidR="004A3EB7" w:rsidRDefault="004A3EB7">
      <w:pPr>
        <w:pStyle w:val="CommentText"/>
      </w:pPr>
      <w:r>
        <w:rPr>
          <w:rStyle w:val="CommentReference"/>
        </w:rPr>
        <w:annotationRef/>
      </w:r>
      <w:r>
        <w:t>This was originally:</w:t>
      </w:r>
    </w:p>
    <w:p w14:paraId="6F57EC1D" w14:textId="381C60D8" w:rsidR="004A3EB7" w:rsidRDefault="004A3EB7">
      <w:pPr>
        <w:pStyle w:val="CommentText"/>
      </w:pPr>
      <w:r>
        <w:t>81.</w:t>
      </w:r>
      <w:r w:rsidRPr="004A3EB7">
        <w:tab/>
      </w:r>
      <w:r>
        <w:t>Rapley T, Girling M, Mair FS, Murray E, Treweek S, McColl E, et al. Improving the normalization of complex interventions: part 1 - development of the NoMAD instrument for assessing implementation work based on normalization process theory (NPT). BMC Med Res Methodol. 2018;18(1):133.</w:t>
      </w:r>
    </w:p>
    <w:p w14:paraId="5338E261" w14:textId="04D15FE1" w:rsidR="004A3EB7" w:rsidRDefault="004A3EB7">
      <w:pPr>
        <w:pStyle w:val="CommentText"/>
      </w:pPr>
    </w:p>
  </w:comment>
  <w:comment w:id="70" w:author="Norman" w:date="2022-08-25T14:30:00Z" w:initials="RM">
    <w:p w14:paraId="071279D1" w14:textId="77777777" w:rsidR="004A3EB7" w:rsidRDefault="004A3EB7">
      <w:pPr>
        <w:pStyle w:val="CommentText"/>
      </w:pPr>
      <w:r>
        <w:rPr>
          <w:rStyle w:val="CommentReference"/>
        </w:rPr>
        <w:annotationRef/>
      </w:r>
      <w:r>
        <w:t>This was originally:</w:t>
      </w:r>
    </w:p>
    <w:p w14:paraId="78B71538" w14:textId="529E5921" w:rsidR="004A3EB7" w:rsidRDefault="004A3EB7">
      <w:pPr>
        <w:pStyle w:val="CommentText"/>
      </w:pPr>
      <w:r>
        <w:t>82.</w:t>
      </w:r>
      <w:r w:rsidRPr="004A3EB7">
        <w:tab/>
      </w:r>
      <w:r>
        <w:t>Hickey G. The potential for coproduction to add value to research. Health Expect. 2018;21(4):693-4.</w:t>
      </w:r>
    </w:p>
    <w:p w14:paraId="4401D4BD" w14:textId="6AD7ED4A" w:rsidR="004A3EB7" w:rsidRDefault="004A3EB7">
      <w:pPr>
        <w:pStyle w:val="CommentText"/>
      </w:pPr>
    </w:p>
  </w:comment>
  <w:comment w:id="71" w:author="Norman" w:date="2022-08-25T14:30:00Z" w:initials="RM">
    <w:p w14:paraId="7D5FA36A" w14:textId="77777777" w:rsidR="004A3EB7" w:rsidRDefault="004A3EB7">
      <w:pPr>
        <w:pStyle w:val="CommentText"/>
      </w:pPr>
      <w:r>
        <w:rPr>
          <w:rStyle w:val="CommentReference"/>
        </w:rPr>
        <w:annotationRef/>
      </w:r>
      <w:r>
        <w:t>This was originally:</w:t>
      </w:r>
    </w:p>
    <w:p w14:paraId="63DD0CAD" w14:textId="41A5F880" w:rsidR="004A3EB7" w:rsidRDefault="004A3EB7">
      <w:pPr>
        <w:pStyle w:val="CommentText"/>
      </w:pPr>
      <w:r>
        <w:t>83.</w:t>
      </w:r>
      <w:r w:rsidRPr="004A3EB7">
        <w:tab/>
      </w:r>
      <w:r>
        <w:t>Poland F, Charlesworth G, Leung P, Birt L. Embedding patient and public involvement: Managing tacit and explicit expectations. Health Expect. 2019;22(6):1231-9.</w:t>
      </w:r>
    </w:p>
    <w:p w14:paraId="6AF6B311" w14:textId="590D0747" w:rsidR="004A3EB7" w:rsidRDefault="004A3EB7">
      <w:pPr>
        <w:pStyle w:val="CommentText"/>
      </w:pPr>
    </w:p>
  </w:comment>
  <w:comment w:id="72" w:author="Norman" w:date="2022-08-25T14:30:00Z" w:initials="RM">
    <w:p w14:paraId="590A5A8B" w14:textId="77777777" w:rsidR="004A3EB7" w:rsidRDefault="004A3EB7">
      <w:pPr>
        <w:pStyle w:val="CommentText"/>
      </w:pPr>
      <w:r>
        <w:rPr>
          <w:rStyle w:val="CommentReference"/>
        </w:rPr>
        <w:annotationRef/>
      </w:r>
      <w:r>
        <w:t>This was originally:</w:t>
      </w:r>
    </w:p>
    <w:p w14:paraId="28FEDD74" w14:textId="4F691CE7" w:rsidR="004A3EB7" w:rsidRDefault="004A3EB7">
      <w:pPr>
        <w:pStyle w:val="CommentText"/>
      </w:pPr>
      <w:r>
        <w:t>84.</w:t>
      </w:r>
      <w:r w:rsidRPr="004A3EB7">
        <w:tab/>
      </w:r>
      <w:r>
        <w:t>Staniszewska S, Brett J, Simera I, Seers K, Mockford C, Goodlad S, et al. GRIPP2 reporting checklists: tools to improve reporting of patient and public involvement in research. BMJ. 2017;358:j3453.</w:t>
      </w:r>
    </w:p>
    <w:p w14:paraId="116EF6E2" w14:textId="7D405B63" w:rsidR="004A3EB7" w:rsidRDefault="004A3EB7">
      <w:pPr>
        <w:pStyle w:val="CommentText"/>
      </w:pPr>
    </w:p>
  </w:comment>
  <w:comment w:id="73" w:author="Norman" w:date="2022-08-25T14:30:00Z" w:initials="RM">
    <w:p w14:paraId="14E8098A" w14:textId="77777777" w:rsidR="004A3EB7" w:rsidRDefault="004A3EB7">
      <w:pPr>
        <w:pStyle w:val="CommentText"/>
      </w:pPr>
      <w:r>
        <w:rPr>
          <w:rStyle w:val="CommentReference"/>
        </w:rPr>
        <w:annotationRef/>
      </w:r>
      <w:r>
        <w:t>This was originally:</w:t>
      </w:r>
    </w:p>
    <w:p w14:paraId="5B47B74A" w14:textId="5DCC6094" w:rsidR="004A3EB7" w:rsidRDefault="004A3EB7">
      <w:pPr>
        <w:pStyle w:val="CommentText"/>
      </w:pPr>
      <w:r>
        <w:t>85.</w:t>
      </w:r>
      <w:r w:rsidRPr="004A3EB7">
        <w:tab/>
      </w:r>
      <w:r>
        <w:t>Bertram W, Moore A, Wylde V, Gooberman-Hill R. Optimising recruitment into trials using an internal pilot. Trials. 2019;20(1):207.</w:t>
      </w:r>
    </w:p>
    <w:p w14:paraId="58EE088E" w14:textId="24C2ABDB" w:rsidR="004A3EB7" w:rsidRDefault="004A3EB7">
      <w:pPr>
        <w:pStyle w:val="CommentText"/>
      </w:pPr>
    </w:p>
  </w:comment>
  <w:comment w:id="74" w:author="Norman" w:date="2022-08-25T14:30:00Z" w:initials="RM">
    <w:p w14:paraId="42AEE254" w14:textId="77777777" w:rsidR="004A3EB7" w:rsidRDefault="004A3EB7">
      <w:pPr>
        <w:pStyle w:val="CommentText"/>
      </w:pPr>
      <w:r>
        <w:rPr>
          <w:rStyle w:val="CommentReference"/>
        </w:rPr>
        <w:annotationRef/>
      </w:r>
      <w:r>
        <w:t>This was originally:</w:t>
      </w:r>
    </w:p>
    <w:p w14:paraId="4EDCC558" w14:textId="551ED5DF" w:rsidR="004A3EB7" w:rsidRDefault="004A3EB7">
      <w:pPr>
        <w:pStyle w:val="CommentText"/>
      </w:pPr>
      <w:r>
        <w:t>86.</w:t>
      </w:r>
      <w:r w:rsidRPr="004A3EB7">
        <w:tab/>
      </w:r>
      <w:r>
        <w:t>Bradshaw E, Whale K, Burston A, Wylde V, Gooberman-Hill R. Value, transparency, and inclusion: A values-based study of patient involvement in musculoskeletal research. PLOS ONE. 2021;16(12):e0260617.</w:t>
      </w:r>
    </w:p>
    <w:p w14:paraId="7DE90EE0" w14:textId="4A2D81E3" w:rsidR="004A3EB7" w:rsidRDefault="004A3EB7">
      <w:pPr>
        <w:pStyle w:val="CommentText"/>
      </w:pPr>
    </w:p>
  </w:comment>
  <w:comment w:id="75" w:author="Norman" w:date="2022-08-25T14:30:00Z" w:initials="RM">
    <w:p w14:paraId="5F0D2093" w14:textId="77777777" w:rsidR="004A3EB7" w:rsidRDefault="004A3EB7">
      <w:pPr>
        <w:pStyle w:val="CommentText"/>
      </w:pPr>
      <w:r>
        <w:rPr>
          <w:rStyle w:val="CommentReference"/>
        </w:rPr>
        <w:annotationRef/>
      </w:r>
      <w:r>
        <w:t>This was originally:</w:t>
      </w:r>
    </w:p>
    <w:p w14:paraId="57498B5B" w14:textId="5F590D89" w:rsidR="004A3EB7" w:rsidRDefault="004A3EB7">
      <w:pPr>
        <w:pStyle w:val="CommentText"/>
      </w:pPr>
      <w:r>
        <w:t>87.</w:t>
      </w:r>
      <w:r w:rsidRPr="004A3EB7">
        <w:tab/>
      </w:r>
      <w:r>
        <w:t>Wylde V, Beswick A, Dennis J, Gooberman-Hill R. Post-operative patient-related risk factors for chronic pain after total knee replacement: a systematic review. BMJ Open. 2017;7(11):e018105.</w:t>
      </w:r>
    </w:p>
    <w:p w14:paraId="2AD656D3" w14:textId="15A78943" w:rsidR="004A3EB7" w:rsidRDefault="004A3EB7">
      <w:pPr>
        <w:pStyle w:val="CommentText"/>
      </w:pPr>
    </w:p>
  </w:comment>
  <w:comment w:id="76" w:author="Norman" w:date="2022-08-25T14:30:00Z" w:initials="RM">
    <w:p w14:paraId="076A0932" w14:textId="77777777" w:rsidR="004A3EB7" w:rsidRDefault="004A3EB7">
      <w:pPr>
        <w:pStyle w:val="CommentText"/>
      </w:pPr>
      <w:r>
        <w:rPr>
          <w:rStyle w:val="CommentReference"/>
        </w:rPr>
        <w:annotationRef/>
      </w:r>
      <w:r>
        <w:t>This was originally:</w:t>
      </w:r>
    </w:p>
    <w:p w14:paraId="4017E0BD" w14:textId="39F21B8D" w:rsidR="004A3EB7" w:rsidRDefault="004A3EB7">
      <w:pPr>
        <w:pStyle w:val="CommentText"/>
      </w:pPr>
      <w:r>
        <w:t>89.</w:t>
      </w:r>
      <w:r w:rsidRPr="004A3EB7">
        <w:tab/>
      </w:r>
      <w:r>
        <w:t>Moher D, Liberati A, Tetzlaff J, Altman DG. Preferred reporting items for systematic reviews and meta-analyses: the PRISMA statement. BMJ. 2009;339:332-9.</w:t>
      </w:r>
    </w:p>
    <w:p w14:paraId="25BF3E93" w14:textId="77777777" w:rsidR="004A3EB7" w:rsidRDefault="004A3EB7">
      <w:pPr>
        <w:pStyle w:val="CommentText"/>
      </w:pPr>
    </w:p>
    <w:p w14:paraId="453A1A8B" w14:textId="34D05675" w:rsidR="004A3EB7" w:rsidRDefault="004A3EB7">
      <w:pPr>
        <w:pStyle w:val="CommentText"/>
      </w:pPr>
      <w:r>
        <w:t>WARNING: POTENTIAL FALSE POSITIVE: Please check carefully.</w:t>
      </w:r>
    </w:p>
  </w:comment>
  <w:comment w:id="77" w:author="NIHR standard" w:date="2022-08-25T14:30:00Z" w:initials="RM">
    <w:p w14:paraId="3791A42A" w14:textId="4C3B8264" w:rsidR="004A3EB7" w:rsidRDefault="004A3EB7">
      <w:pPr>
        <w:pStyle w:val="CommentText"/>
      </w:pPr>
      <w:r>
        <w:rPr>
          <w:rStyle w:val="CommentReference"/>
        </w:rPr>
        <w:annotationRef/>
      </w:r>
      <w:r>
        <w:t>The page range has been amended to match that in PubMed; OK?</w:t>
      </w:r>
    </w:p>
  </w:comment>
  <w:comment w:id="78" w:author="Norman" w:date="2022-08-25T14:30:00Z" w:initials="RM">
    <w:p w14:paraId="2BB7681B" w14:textId="77777777" w:rsidR="004A3EB7" w:rsidRDefault="004A3EB7">
      <w:pPr>
        <w:pStyle w:val="CommentText"/>
      </w:pPr>
      <w:r>
        <w:rPr>
          <w:rStyle w:val="CommentReference"/>
        </w:rPr>
        <w:annotationRef/>
      </w:r>
      <w:r>
        <w:t>This was originally:</w:t>
      </w:r>
    </w:p>
    <w:p w14:paraId="4257F5C6" w14:textId="61E3AE2D" w:rsidR="004A3EB7" w:rsidRDefault="004A3EB7">
      <w:pPr>
        <w:pStyle w:val="CommentText"/>
      </w:pPr>
      <w:r>
        <w:t>90.</w:t>
      </w:r>
      <w:r w:rsidRPr="004A3EB7">
        <w:tab/>
      </w:r>
      <w:r>
        <w:t>Slim K, Nini E, Forestier D, Kwiatkowski F, Panis Y, Chipponi J. Methodological index for non-randomized studies (MINORS): development and validation of a new instrument. ANZ J Surg. 2003;73(9):712-6.</w:t>
      </w:r>
    </w:p>
    <w:p w14:paraId="5E2D78B7" w14:textId="36219B84" w:rsidR="004A3EB7" w:rsidRDefault="004A3EB7">
      <w:pPr>
        <w:pStyle w:val="CommentText"/>
      </w:pPr>
    </w:p>
  </w:comment>
  <w:comment w:id="79" w:author="Norman" w:date="2022-08-25T14:30:00Z" w:initials="RM">
    <w:p w14:paraId="58FD9E5E" w14:textId="77777777" w:rsidR="004A3EB7" w:rsidRDefault="004A3EB7">
      <w:pPr>
        <w:pStyle w:val="CommentText"/>
      </w:pPr>
      <w:r>
        <w:rPr>
          <w:rStyle w:val="CommentReference"/>
        </w:rPr>
        <w:annotationRef/>
      </w:r>
      <w:r>
        <w:t>This was originally:</w:t>
      </w:r>
    </w:p>
    <w:p w14:paraId="7EB677C4" w14:textId="1FFE8D79" w:rsidR="004A3EB7" w:rsidRDefault="004A3EB7">
      <w:pPr>
        <w:pStyle w:val="CommentText"/>
      </w:pPr>
      <w:r>
        <w:t>92.</w:t>
      </w:r>
      <w:r w:rsidRPr="004A3EB7">
        <w:tab/>
      </w:r>
      <w:r>
        <w:t>Thomazeau J, Rouquette A, Martinez V, Rabuel C, Prince N, Laplanche JL, et al. Predictive factors of chronic post-surgical pain at 6 months following knee replacement: Influence of postoperative pain trajectory and genetics. Pain Physician. 2016;19(5):E729-41.</w:t>
      </w:r>
    </w:p>
    <w:p w14:paraId="2A035B5E" w14:textId="726A9A83" w:rsidR="004A3EB7" w:rsidRDefault="004A3EB7">
      <w:pPr>
        <w:pStyle w:val="CommentText"/>
      </w:pPr>
    </w:p>
  </w:comment>
  <w:comment w:id="80" w:author="Norman" w:date="2022-08-25T14:30:00Z" w:initials="RM">
    <w:p w14:paraId="199A53E2" w14:textId="77777777" w:rsidR="004A3EB7" w:rsidRDefault="004A3EB7">
      <w:pPr>
        <w:pStyle w:val="CommentText"/>
      </w:pPr>
      <w:r>
        <w:rPr>
          <w:rStyle w:val="CommentReference"/>
        </w:rPr>
        <w:annotationRef/>
      </w:r>
      <w:r>
        <w:t>This was originally:</w:t>
      </w:r>
    </w:p>
    <w:p w14:paraId="788C4412" w14:textId="4ABBF4C9" w:rsidR="004A3EB7" w:rsidRDefault="004A3EB7">
      <w:pPr>
        <w:pStyle w:val="CommentText"/>
      </w:pPr>
      <w:r>
        <w:t>94.</w:t>
      </w:r>
      <w:r w:rsidRPr="004A3EB7">
        <w:tab/>
      </w:r>
      <w:r>
        <w:t>Mohammad HR, Gooberman-Hill R, Delmestri A, Broomfield J, Patel R, Huber J, et al. Risk factors associated with poor pain outcomes following primary knee replacement surgery: Analysis of data from the clinical practice research datalink, hospital episode statistics and patient reported outcomes as part of the STAR research programme. PLOS ONE. 2021;16(12):e0261850.</w:t>
      </w:r>
    </w:p>
    <w:p w14:paraId="3251BA85" w14:textId="5A4DDFB7" w:rsidR="004A3EB7" w:rsidRDefault="004A3EB7">
      <w:pPr>
        <w:pStyle w:val="CommentText"/>
      </w:pPr>
    </w:p>
  </w:comment>
  <w:comment w:id="81" w:author="Norman" w:date="2022-08-25T14:30:00Z" w:initials="RM">
    <w:p w14:paraId="4CC93684" w14:textId="77777777" w:rsidR="004A3EB7" w:rsidRDefault="004A3EB7">
      <w:pPr>
        <w:pStyle w:val="CommentText"/>
      </w:pPr>
      <w:r>
        <w:rPr>
          <w:rStyle w:val="CommentReference"/>
        </w:rPr>
        <w:annotationRef/>
      </w:r>
      <w:r>
        <w:t>This was originally:</w:t>
      </w:r>
    </w:p>
    <w:p w14:paraId="6E12E86F" w14:textId="59729D05" w:rsidR="004A3EB7" w:rsidRDefault="004A3EB7">
      <w:pPr>
        <w:pStyle w:val="CommentText"/>
      </w:pPr>
      <w:r>
        <w:t>95.</w:t>
      </w:r>
      <w:r w:rsidRPr="004A3EB7">
        <w:tab/>
      </w:r>
      <w:r>
        <w:t>Herrett E, Gallagher AM, Bhaskaran K, Forbes H, Mathur R, van Staa T, et al. Data Resource Profile: Clinical Practice Research Datalink (CPRD). Int J Epidemiol. 2015;44(3):827-36.</w:t>
      </w:r>
    </w:p>
    <w:p w14:paraId="2FA144D1" w14:textId="5E3D3B25" w:rsidR="004A3EB7" w:rsidRDefault="004A3EB7">
      <w:pPr>
        <w:pStyle w:val="CommentText"/>
      </w:pPr>
    </w:p>
  </w:comment>
  <w:comment w:id="82" w:author="Norman" w:date="2022-08-25T14:30:00Z" w:initials="RM">
    <w:p w14:paraId="069492C0" w14:textId="77777777" w:rsidR="004A3EB7" w:rsidRDefault="004A3EB7">
      <w:pPr>
        <w:pStyle w:val="CommentText"/>
      </w:pPr>
      <w:r>
        <w:rPr>
          <w:rStyle w:val="CommentReference"/>
        </w:rPr>
        <w:annotationRef/>
      </w:r>
      <w:r>
        <w:t>This was originally:</w:t>
      </w:r>
    </w:p>
    <w:p w14:paraId="240ED847" w14:textId="7305B26B" w:rsidR="004A3EB7" w:rsidRDefault="004A3EB7">
      <w:pPr>
        <w:pStyle w:val="CommentText"/>
      </w:pPr>
      <w:r>
        <w:t>96.</w:t>
      </w:r>
      <w:r w:rsidRPr="004A3EB7">
        <w:tab/>
      </w:r>
      <w:r>
        <w:t>Padmanabhan S, Carty L, Cameron E, Ghosh RE, Williams R, Strongman H. Approach to record linkage of primary care data from Clinical Practice Research Datalink to other health-related patient data: overview and implications. Eur J Epidemiol. 2019;34(1):91-9.</w:t>
      </w:r>
    </w:p>
    <w:p w14:paraId="63654DA1" w14:textId="6A1433A9" w:rsidR="004A3EB7" w:rsidRDefault="004A3EB7">
      <w:pPr>
        <w:pStyle w:val="CommentText"/>
      </w:pPr>
    </w:p>
  </w:comment>
  <w:comment w:id="83" w:author="Norman" w:date="2022-08-25T14:30:00Z" w:initials="RM">
    <w:p w14:paraId="1B376258" w14:textId="77777777" w:rsidR="004A3EB7" w:rsidRDefault="004A3EB7">
      <w:pPr>
        <w:pStyle w:val="CommentText"/>
      </w:pPr>
      <w:r>
        <w:rPr>
          <w:rStyle w:val="CommentReference"/>
        </w:rPr>
        <w:annotationRef/>
      </w:r>
      <w:r>
        <w:t>This was originally:</w:t>
      </w:r>
    </w:p>
    <w:p w14:paraId="2ADA6767" w14:textId="16EE64FA" w:rsidR="004A3EB7" w:rsidRDefault="004A3EB7">
      <w:pPr>
        <w:pStyle w:val="CommentText"/>
      </w:pPr>
      <w:r>
        <w:t>97.</w:t>
      </w:r>
      <w:r w:rsidRPr="004A3EB7">
        <w:tab/>
      </w:r>
      <w:r>
        <w:t>Huber J, Hüsler J, Dieppe P, Günther KP, Dreinhöfer K, Judge A. A new responder criterion (relative effect per patient (REPP) &gt; 0.2) externally validated in a large total hip replacement multicenter cohort (EUROHIP). Osteoarthritis Cartilage. 2016;24(3):480-3.</w:t>
      </w:r>
    </w:p>
    <w:p w14:paraId="348E402C" w14:textId="2BDF26A6" w:rsidR="004A3EB7" w:rsidRDefault="004A3EB7">
      <w:pPr>
        <w:pStyle w:val="CommentText"/>
      </w:pPr>
    </w:p>
  </w:comment>
  <w:comment w:id="84" w:author="Norman" w:date="2022-08-25T14:30:00Z" w:initials="RM">
    <w:p w14:paraId="2B9E940C" w14:textId="77777777" w:rsidR="004A3EB7" w:rsidRDefault="004A3EB7">
      <w:pPr>
        <w:pStyle w:val="CommentText"/>
      </w:pPr>
      <w:r>
        <w:rPr>
          <w:rStyle w:val="CommentReference"/>
        </w:rPr>
        <w:annotationRef/>
      </w:r>
      <w:r>
        <w:t>This was originally:</w:t>
      </w:r>
    </w:p>
    <w:p w14:paraId="57CBBAFD" w14:textId="0F3FB0BC" w:rsidR="004A3EB7" w:rsidRDefault="004A3EB7">
      <w:pPr>
        <w:pStyle w:val="CommentText"/>
      </w:pPr>
      <w:r>
        <w:t>98.</w:t>
      </w:r>
      <w:r w:rsidRPr="004A3EB7">
        <w:tab/>
      </w:r>
      <w:r>
        <w:t>Kiran A, Hunter DJ, Judge A, Field RE, Javaid MK, Cooper C, et al. A novel methodological approach for measuring symptomatic change following total joint arthroplasty. J Arthroplasty. 2014;29(11):2140-5.</w:t>
      </w:r>
    </w:p>
    <w:p w14:paraId="4814B3A7" w14:textId="7DA2560A" w:rsidR="004A3EB7" w:rsidRDefault="004A3EB7">
      <w:pPr>
        <w:pStyle w:val="CommentText"/>
      </w:pPr>
    </w:p>
  </w:comment>
  <w:comment w:id="85" w:author="Norman" w:date="2022-08-25T14:30:00Z" w:initials="RM">
    <w:p w14:paraId="74FCDF09" w14:textId="77777777" w:rsidR="004A3EB7" w:rsidRDefault="004A3EB7">
      <w:pPr>
        <w:pStyle w:val="CommentText"/>
      </w:pPr>
      <w:r>
        <w:rPr>
          <w:rStyle w:val="CommentReference"/>
        </w:rPr>
        <w:annotationRef/>
      </w:r>
      <w:r>
        <w:t>This was originally:</w:t>
      </w:r>
    </w:p>
    <w:p w14:paraId="35FC299D" w14:textId="5BC625CB" w:rsidR="004A3EB7" w:rsidRDefault="004A3EB7">
      <w:pPr>
        <w:pStyle w:val="CommentText"/>
      </w:pPr>
      <w:r>
        <w:t>99.</w:t>
      </w:r>
      <w:r w:rsidRPr="004A3EB7">
        <w:tab/>
      </w:r>
      <w:r>
        <w:t>Wylde V, Dennis J, Gooberman-Hill R, Beswick AD. Effectiveness of postdischarge interventions for reducing the severity of chronic pain after total knee replacement: systematic review of randomised controlled trials. BMJ Open. 2018;8(2):e020368.</w:t>
      </w:r>
    </w:p>
    <w:p w14:paraId="0437BC98" w14:textId="79C281D8" w:rsidR="004A3EB7" w:rsidRDefault="004A3EB7">
      <w:pPr>
        <w:pStyle w:val="CommentText"/>
      </w:pPr>
    </w:p>
  </w:comment>
  <w:comment w:id="86" w:author="Norman" w:date="2022-08-25T14:30:00Z" w:initials="RM">
    <w:p w14:paraId="792A42AD" w14:textId="77777777" w:rsidR="004A3EB7" w:rsidRDefault="004A3EB7">
      <w:pPr>
        <w:pStyle w:val="CommentText"/>
      </w:pPr>
      <w:r>
        <w:rPr>
          <w:rStyle w:val="CommentReference"/>
        </w:rPr>
        <w:annotationRef/>
      </w:r>
      <w:r>
        <w:t>This was originally:</w:t>
      </w:r>
    </w:p>
    <w:p w14:paraId="536B0255" w14:textId="5B78AD95" w:rsidR="004A3EB7" w:rsidRDefault="004A3EB7">
      <w:pPr>
        <w:pStyle w:val="CommentText"/>
      </w:pPr>
      <w:r>
        <w:t>100.</w:t>
      </w:r>
      <w:r w:rsidRPr="004A3EB7">
        <w:tab/>
      </w:r>
      <w:r>
        <w:t>Beswick AD, Dennis J, Gooberman-Hill R, Blom AW, Wylde V. Are perioperative interventions effective in preventing chronic pain after primary total knee replacement? A systematic review. BMJ Open. 2019;9(9):e028093.</w:t>
      </w:r>
    </w:p>
    <w:p w14:paraId="63F11A99" w14:textId="654CEE9E" w:rsidR="004A3EB7" w:rsidRDefault="004A3EB7">
      <w:pPr>
        <w:pStyle w:val="CommentText"/>
      </w:pPr>
    </w:p>
  </w:comment>
  <w:comment w:id="87" w:author="Norman" w:date="2022-08-25T14:30:00Z" w:initials="RM">
    <w:p w14:paraId="0CF8D180" w14:textId="77777777" w:rsidR="004A3EB7" w:rsidRDefault="004A3EB7">
      <w:pPr>
        <w:pStyle w:val="CommentText"/>
      </w:pPr>
      <w:r>
        <w:rPr>
          <w:rStyle w:val="CommentReference"/>
        </w:rPr>
        <w:annotationRef/>
      </w:r>
      <w:r>
        <w:t>This was originally:</w:t>
      </w:r>
    </w:p>
    <w:p w14:paraId="41D12B0D" w14:textId="2D8D3958" w:rsidR="004A3EB7" w:rsidRDefault="004A3EB7">
      <w:pPr>
        <w:pStyle w:val="CommentText"/>
      </w:pPr>
      <w:r>
        <w:t>101.</w:t>
      </w:r>
      <w:r w:rsidRPr="004A3EB7">
        <w:tab/>
      </w:r>
      <w:r>
        <w:t>Dennis J, Wylde V, Gooberman-Hill R, Blom AW, Beswick AD. Effects of presurgical interventions on chronic pain after total knee replacement: a systematic review and meta-analysis of randomised controlled trials. BMJ Open. 2020;10(1):e033248.</w:t>
      </w:r>
    </w:p>
    <w:p w14:paraId="0769CD98" w14:textId="004DC026" w:rsidR="004A3EB7" w:rsidRDefault="004A3EB7">
      <w:pPr>
        <w:pStyle w:val="CommentText"/>
      </w:pPr>
    </w:p>
  </w:comment>
  <w:comment w:id="88" w:author="Norman" w:date="2022-08-25T14:30:00Z" w:initials="RM">
    <w:p w14:paraId="5702A56D" w14:textId="77777777" w:rsidR="004A3EB7" w:rsidRDefault="004A3EB7">
      <w:pPr>
        <w:pStyle w:val="CommentText"/>
      </w:pPr>
      <w:r>
        <w:rPr>
          <w:rStyle w:val="CommentReference"/>
        </w:rPr>
        <w:annotationRef/>
      </w:r>
      <w:r>
        <w:t>This was originally:</w:t>
      </w:r>
    </w:p>
    <w:p w14:paraId="0CAD0C07" w14:textId="5B2AE832" w:rsidR="004A3EB7" w:rsidRDefault="004A3EB7">
      <w:pPr>
        <w:pStyle w:val="CommentText"/>
      </w:pPr>
      <w:r>
        <w:t>106.</w:t>
      </w:r>
      <w:r w:rsidRPr="004A3EB7">
        <w:tab/>
      </w:r>
      <w:r>
        <w:t>Kauppila A-M, Kyllönen E, Ohtonen P, Hämäläinen M, Mikkonen P, Laine V, et al. Multidisciplinary rehabilitation after primary total knee arthroplasty: a randomized controlled study of its effects on functional capacity and quality of life. Clin Rehab. 2010;24(5):398-411.</w:t>
      </w:r>
    </w:p>
    <w:p w14:paraId="4243E8E6" w14:textId="2C567AAD" w:rsidR="004A3EB7" w:rsidRDefault="004A3EB7">
      <w:pPr>
        <w:pStyle w:val="CommentText"/>
      </w:pPr>
    </w:p>
  </w:comment>
  <w:comment w:id="89" w:author="Norman" w:date="2022-08-25T14:30:00Z" w:initials="RM">
    <w:p w14:paraId="49685BD7" w14:textId="77777777" w:rsidR="004A3EB7" w:rsidRDefault="004A3EB7">
      <w:pPr>
        <w:pStyle w:val="CommentText"/>
      </w:pPr>
      <w:r>
        <w:rPr>
          <w:rStyle w:val="CommentReference"/>
        </w:rPr>
        <w:annotationRef/>
      </w:r>
      <w:r>
        <w:t>This was originally:</w:t>
      </w:r>
    </w:p>
    <w:p w14:paraId="3CC1E645" w14:textId="5053B9B7" w:rsidR="004A3EB7" w:rsidRDefault="004A3EB7">
      <w:pPr>
        <w:pStyle w:val="CommentText"/>
      </w:pPr>
      <w:r>
        <w:t>107.</w:t>
      </w:r>
      <w:r w:rsidRPr="004A3EB7">
        <w:tab/>
      </w:r>
      <w:r>
        <w:t>Wylde V, Dennis J, Beswick A, Bruce J, Eccleston C, Howells N, et al. Systematic review of management of chronic pain after surgery. Br J Surg. 2017;104(10):1293-306.</w:t>
      </w:r>
    </w:p>
    <w:p w14:paraId="2C661907" w14:textId="43981747" w:rsidR="004A3EB7" w:rsidRDefault="004A3EB7">
      <w:pPr>
        <w:pStyle w:val="CommentText"/>
      </w:pPr>
    </w:p>
  </w:comment>
  <w:comment w:id="90" w:author="Norman" w:date="2022-08-25T14:30:00Z" w:initials="RM">
    <w:p w14:paraId="2B038BDA" w14:textId="77777777" w:rsidR="004A3EB7" w:rsidRDefault="004A3EB7">
      <w:pPr>
        <w:pStyle w:val="CommentText"/>
      </w:pPr>
      <w:r>
        <w:rPr>
          <w:rStyle w:val="CommentReference"/>
        </w:rPr>
        <w:annotationRef/>
      </w:r>
      <w:r>
        <w:t>This was originally:</w:t>
      </w:r>
    </w:p>
    <w:p w14:paraId="52751932" w14:textId="5DA610FB" w:rsidR="004A3EB7" w:rsidRDefault="004A3EB7">
      <w:pPr>
        <w:pStyle w:val="CommentText"/>
      </w:pPr>
      <w:r>
        <w:t>109.</w:t>
      </w:r>
      <w:r w:rsidRPr="004A3EB7">
        <w:tab/>
      </w:r>
      <w:r>
        <w:t>Singh JA, Mahowald ML, Noorbaloochi S. Intraarticular botulinum toxin A for refractory painful total knee arthroplasty: a randomized controlled trial. J Rheumatol. 2010;37(11):2377-86.</w:t>
      </w:r>
    </w:p>
    <w:p w14:paraId="045B55FD" w14:textId="4218F4D3" w:rsidR="004A3EB7" w:rsidRDefault="004A3EB7">
      <w:pPr>
        <w:pStyle w:val="CommentText"/>
      </w:pPr>
    </w:p>
  </w:comment>
  <w:comment w:id="91" w:author="Norman" w:date="2022-08-25T14:30:00Z" w:initials="RM">
    <w:p w14:paraId="4E45847E" w14:textId="77777777" w:rsidR="004A3EB7" w:rsidRDefault="004A3EB7">
      <w:pPr>
        <w:pStyle w:val="CommentText"/>
      </w:pPr>
      <w:r>
        <w:rPr>
          <w:rStyle w:val="CommentReference"/>
        </w:rPr>
        <w:annotationRef/>
      </w:r>
      <w:r>
        <w:t>This was originally:</w:t>
      </w:r>
    </w:p>
    <w:p w14:paraId="520A5F0F" w14:textId="0FFF6C26" w:rsidR="004A3EB7" w:rsidRDefault="004A3EB7">
      <w:pPr>
        <w:pStyle w:val="CommentText"/>
      </w:pPr>
      <w:r>
        <w:t>111.</w:t>
      </w:r>
      <w:r w:rsidRPr="004A3EB7">
        <w:tab/>
      </w:r>
      <w:r>
        <w:t>Qudsi-Sinclair S, Borrás-Rubio E, Abellan-Guillén JF, Padilla Del Rey ML, Ruiz-Merino G. A comparison of genicular nerve treatment using either radiofrequency or analgesic block with corticosteroid for pain after a total knee arthroplasty: A double-blind, randomized clinical study. Pain Pract. 2017;17(5):578‐88.</w:t>
      </w:r>
    </w:p>
    <w:p w14:paraId="0B851F34" w14:textId="7172894E" w:rsidR="004A3EB7" w:rsidRDefault="004A3EB7">
      <w:pPr>
        <w:pStyle w:val="CommentText"/>
      </w:pPr>
    </w:p>
  </w:comment>
  <w:comment w:id="92" w:author="Norman" w:date="2022-08-25T14:30:00Z" w:initials="RM">
    <w:p w14:paraId="400C11A2" w14:textId="77777777" w:rsidR="004A3EB7" w:rsidRDefault="004A3EB7">
      <w:pPr>
        <w:pStyle w:val="CommentText"/>
      </w:pPr>
      <w:r>
        <w:rPr>
          <w:rStyle w:val="CommentReference"/>
        </w:rPr>
        <w:annotationRef/>
      </w:r>
      <w:r>
        <w:t>This was originally:</w:t>
      </w:r>
    </w:p>
    <w:p w14:paraId="342B7E7D" w14:textId="6533D47C" w:rsidR="004A3EB7" w:rsidRDefault="004A3EB7">
      <w:pPr>
        <w:pStyle w:val="CommentText"/>
      </w:pPr>
      <w:r>
        <w:t>112.</w:t>
      </w:r>
      <w:r w:rsidRPr="004A3EB7">
        <w:tab/>
      </w:r>
      <w:r>
        <w:t>Pickering G, Voute M, Macian N, Ganry H, Pereira B. Effectiveness and safety of 5% lidocaine-medicated plaster on localized neuropathic pain after knee surgery: a randomized, double-blind controlled trial. Pain. 2019;160(5):1186-95.</w:t>
      </w:r>
    </w:p>
    <w:p w14:paraId="753E779B" w14:textId="5BF72AA2" w:rsidR="004A3EB7" w:rsidRDefault="004A3EB7">
      <w:pPr>
        <w:pStyle w:val="CommentText"/>
      </w:pPr>
    </w:p>
  </w:comment>
  <w:comment w:id="93" w:author="Norman" w:date="2022-08-25T14:30:00Z" w:initials="RM">
    <w:p w14:paraId="7E2B7F65" w14:textId="77777777" w:rsidR="004A3EB7" w:rsidRDefault="004A3EB7">
      <w:pPr>
        <w:pStyle w:val="CommentText"/>
      </w:pPr>
      <w:r>
        <w:rPr>
          <w:rStyle w:val="CommentReference"/>
        </w:rPr>
        <w:annotationRef/>
      </w:r>
      <w:r>
        <w:t>This was originally:</w:t>
      </w:r>
    </w:p>
    <w:p w14:paraId="60A48574" w14:textId="09C0AAFD" w:rsidR="004A3EB7" w:rsidRDefault="004A3EB7">
      <w:pPr>
        <w:pStyle w:val="CommentText"/>
      </w:pPr>
      <w:r>
        <w:t>113.</w:t>
      </w:r>
      <w:r w:rsidRPr="004A3EB7">
        <w:tab/>
      </w:r>
      <w:r>
        <w:t>Larsen JB, Skou So T, Arendt-Nielsen L, Simonsen O, Madeleine P. Neuromuscular exercise and pain neuroscience education compared with pain neuroscience education alone in patients with chronic pain after primary total knee arthroplasty: Study protocol for the NEPNEP randomized controlled trial. Trials. 2020;21(1):218.</w:t>
      </w:r>
    </w:p>
    <w:p w14:paraId="0E2D361A" w14:textId="0CCAF1A2" w:rsidR="004A3EB7" w:rsidRDefault="004A3EB7">
      <w:pPr>
        <w:pStyle w:val="CommentText"/>
      </w:pPr>
    </w:p>
  </w:comment>
  <w:comment w:id="94" w:author="Norman" w:date="2022-08-25T14:30:00Z" w:initials="RM">
    <w:p w14:paraId="33372400" w14:textId="77777777" w:rsidR="004A3EB7" w:rsidRDefault="004A3EB7">
      <w:pPr>
        <w:pStyle w:val="CommentText"/>
      </w:pPr>
      <w:r>
        <w:rPr>
          <w:rStyle w:val="CommentReference"/>
        </w:rPr>
        <w:annotationRef/>
      </w:r>
      <w:r>
        <w:t>This was originally:</w:t>
      </w:r>
    </w:p>
    <w:p w14:paraId="1F34FF8C" w14:textId="3AA5955F" w:rsidR="004A3EB7" w:rsidRDefault="004A3EB7">
      <w:pPr>
        <w:pStyle w:val="CommentText"/>
      </w:pPr>
      <w:r>
        <w:t>121.</w:t>
      </w:r>
      <w:r w:rsidRPr="004A3EB7">
        <w:tab/>
      </w:r>
      <w:r>
        <w:t>Wylde V, Howells N, Bertram W, Moore AJ, Bruce J, McCabe C, et al. Development of a complex intervention for people with chronic pain after knee replacement: the STAR care pathway. Trials. 2018;19(1):61.</w:t>
      </w:r>
    </w:p>
    <w:p w14:paraId="07E48E0E" w14:textId="656CEFB6" w:rsidR="004A3EB7" w:rsidRDefault="004A3EB7">
      <w:pPr>
        <w:pStyle w:val="CommentText"/>
      </w:pPr>
    </w:p>
  </w:comment>
  <w:comment w:id="95" w:author="Norman" w:date="2022-08-25T14:30:00Z" w:initials="RM">
    <w:p w14:paraId="3A0B31A9" w14:textId="77777777" w:rsidR="004A3EB7" w:rsidRDefault="004A3EB7">
      <w:pPr>
        <w:pStyle w:val="CommentText"/>
      </w:pPr>
      <w:r>
        <w:rPr>
          <w:rStyle w:val="CommentReference"/>
        </w:rPr>
        <w:annotationRef/>
      </w:r>
      <w:r>
        <w:t>This was originally:</w:t>
      </w:r>
    </w:p>
    <w:p w14:paraId="0708E7F0" w14:textId="6EAB6FB4" w:rsidR="004A3EB7" w:rsidRDefault="004A3EB7">
      <w:pPr>
        <w:pStyle w:val="CommentText"/>
      </w:pPr>
      <w:r>
        <w:t>123.</w:t>
      </w:r>
      <w:r w:rsidRPr="004A3EB7">
        <w:tab/>
      </w:r>
      <w:r>
        <w:t>MacKichan F, Wylde V, Gooberman-Hill R. Pathways through care for long-term pain after knee replacement: A qualitative study with healthcare professionals. Musculoskeletal Care. 2015;13(3):127-38.</w:t>
      </w:r>
    </w:p>
    <w:p w14:paraId="12FC91B6" w14:textId="5A7CF67C" w:rsidR="004A3EB7" w:rsidRDefault="004A3EB7">
      <w:pPr>
        <w:pStyle w:val="CommentText"/>
      </w:pPr>
    </w:p>
  </w:comment>
  <w:comment w:id="96" w:author="Norman" w:date="2022-08-25T14:30:00Z" w:initials="RM">
    <w:p w14:paraId="5B32094D" w14:textId="77777777" w:rsidR="004A3EB7" w:rsidRDefault="004A3EB7">
      <w:pPr>
        <w:pStyle w:val="CommentText"/>
      </w:pPr>
      <w:r>
        <w:rPr>
          <w:rStyle w:val="CommentReference"/>
        </w:rPr>
        <w:annotationRef/>
      </w:r>
      <w:r>
        <w:t>This was originally:</w:t>
      </w:r>
    </w:p>
    <w:p w14:paraId="55B8ED70" w14:textId="29E2265F" w:rsidR="004A3EB7" w:rsidRDefault="004A3EB7">
      <w:pPr>
        <w:pStyle w:val="CommentText"/>
      </w:pPr>
      <w:r>
        <w:t>124.</w:t>
      </w:r>
      <w:r w:rsidRPr="004A3EB7">
        <w:tab/>
      </w:r>
      <w:r>
        <w:t>Gooberman-Hill R, Burston A, Clark E, Johnson E, Nolan S, Wells V, et al. Involving patients in research: considering good practice. Musculoskeletal Care. 2013;11(4):187-90.</w:t>
      </w:r>
    </w:p>
    <w:p w14:paraId="17A85CF9" w14:textId="299BB69A" w:rsidR="004A3EB7" w:rsidRDefault="004A3EB7">
      <w:pPr>
        <w:pStyle w:val="CommentText"/>
      </w:pPr>
    </w:p>
  </w:comment>
  <w:comment w:id="97" w:author="Norman" w:date="2022-08-25T14:30:00Z" w:initials="RM">
    <w:p w14:paraId="2F016DD2" w14:textId="77777777" w:rsidR="004A3EB7" w:rsidRDefault="004A3EB7">
      <w:pPr>
        <w:pStyle w:val="CommentText"/>
      </w:pPr>
      <w:r>
        <w:rPr>
          <w:rStyle w:val="CommentReference"/>
        </w:rPr>
        <w:annotationRef/>
      </w:r>
      <w:r>
        <w:t>This was originally:</w:t>
      </w:r>
    </w:p>
    <w:p w14:paraId="54657FE3" w14:textId="27413701" w:rsidR="004A3EB7" w:rsidRDefault="004A3EB7">
      <w:pPr>
        <w:pStyle w:val="CommentText"/>
      </w:pPr>
      <w:r>
        <w:t>125.</w:t>
      </w:r>
      <w:r w:rsidRPr="004A3EB7">
        <w:tab/>
      </w:r>
      <w:r>
        <w:t>Craig P, Dieppe P, Macintyre S, Michie S, Nazareth I, Petticrew M, et al. Developing and evaluating complex interventions: the new Medical Research Council guidance. BMJ. 2008;337:a1655.</w:t>
      </w:r>
    </w:p>
    <w:p w14:paraId="4950145A" w14:textId="64DEDA31" w:rsidR="004A3EB7" w:rsidRDefault="004A3EB7">
      <w:pPr>
        <w:pStyle w:val="CommentText"/>
      </w:pPr>
    </w:p>
  </w:comment>
  <w:comment w:id="98" w:author="Norman" w:date="2022-08-25T14:30:00Z" w:initials="RM">
    <w:p w14:paraId="30169E05" w14:textId="77777777" w:rsidR="004A3EB7" w:rsidRDefault="004A3EB7">
      <w:pPr>
        <w:pStyle w:val="CommentText"/>
      </w:pPr>
      <w:r>
        <w:rPr>
          <w:rStyle w:val="CommentReference"/>
        </w:rPr>
        <w:annotationRef/>
      </w:r>
      <w:r>
        <w:t>This was originally:</w:t>
      </w:r>
    </w:p>
    <w:p w14:paraId="601DC515" w14:textId="5BF07ED5" w:rsidR="004A3EB7" w:rsidRDefault="004A3EB7">
      <w:pPr>
        <w:pStyle w:val="CommentText"/>
      </w:pPr>
      <w:r>
        <w:t>126.</w:t>
      </w:r>
      <w:r w:rsidRPr="004A3EB7">
        <w:tab/>
      </w:r>
      <w:r>
        <w:t>Wylde V, Bertram W, Beswick AD, Blom AW, Bruce J, Burston A, et al. Clinical- and cost-effectiveness of the STAR care pathway compared to usual care for patients with chronic pain after total knee replacement: study protocol for a UK randomised controlled trial. Trials. 2018;19(1):132.</w:t>
      </w:r>
    </w:p>
    <w:p w14:paraId="3B8ECDB3" w14:textId="49125A44" w:rsidR="004A3EB7" w:rsidRDefault="004A3EB7">
      <w:pPr>
        <w:pStyle w:val="CommentText"/>
      </w:pPr>
    </w:p>
  </w:comment>
  <w:comment w:id="99" w:author="Norman" w:date="2022-08-25T14:30:00Z" w:initials="RM">
    <w:p w14:paraId="65AB6269" w14:textId="77777777" w:rsidR="004A3EB7" w:rsidRDefault="004A3EB7">
      <w:pPr>
        <w:pStyle w:val="CommentText"/>
      </w:pPr>
      <w:r>
        <w:rPr>
          <w:rStyle w:val="CommentReference"/>
        </w:rPr>
        <w:annotationRef/>
      </w:r>
      <w:r>
        <w:t>This was originally:</w:t>
      </w:r>
    </w:p>
    <w:p w14:paraId="1242E08D" w14:textId="5E671567" w:rsidR="004A3EB7" w:rsidRDefault="004A3EB7">
      <w:pPr>
        <w:pStyle w:val="CommentText"/>
      </w:pPr>
      <w:r>
        <w:t>127.</w:t>
      </w:r>
      <w:r w:rsidRPr="004A3EB7">
        <w:tab/>
      </w:r>
      <w:r>
        <w:t>Wylde V, Sanderson E, Peters TJ, Bertram W, Howells N, Bruce J, et al. Screening to identify postoperative pain and cross-sectional associations between factors identified in this process with pain and function, three months after total knee replacement. Arthritis Care Res. 2022;74(5):790-8.</w:t>
      </w:r>
    </w:p>
    <w:p w14:paraId="61F9F11D" w14:textId="2CC4BAE6" w:rsidR="004A3EB7" w:rsidRDefault="004A3EB7">
      <w:pPr>
        <w:pStyle w:val="CommentText"/>
      </w:pPr>
    </w:p>
  </w:comment>
  <w:comment w:id="100" w:author="Norman" w:date="2022-08-25T14:30:00Z" w:initials="RM">
    <w:p w14:paraId="38C5549D" w14:textId="77777777" w:rsidR="004A3EB7" w:rsidRDefault="004A3EB7">
      <w:pPr>
        <w:pStyle w:val="CommentText"/>
      </w:pPr>
      <w:r>
        <w:rPr>
          <w:rStyle w:val="CommentReference"/>
        </w:rPr>
        <w:annotationRef/>
      </w:r>
      <w:r>
        <w:t>This was originally:</w:t>
      </w:r>
    </w:p>
    <w:p w14:paraId="3D443808" w14:textId="0D6CC317" w:rsidR="004A3EB7" w:rsidRDefault="004A3EB7">
      <w:pPr>
        <w:pStyle w:val="CommentText"/>
      </w:pPr>
      <w:r>
        <w:t>128.</w:t>
      </w:r>
      <w:r w:rsidRPr="004A3EB7">
        <w:tab/>
      </w:r>
      <w:r>
        <w:t>Wylde V, Bertram W, Sanderson E, Noble S, Howells N, Peters TJ, et al. The STAR care pathway for patients with pain at 3 months after total knee replacement: a multicentre, pragmatic, randomised, controlled trial. Lancet Rheumatology. 2022;4(3):E188-E97.</w:t>
      </w:r>
    </w:p>
    <w:p w14:paraId="0DAD9F23" w14:textId="4B41FAED" w:rsidR="004A3EB7" w:rsidRDefault="004A3EB7">
      <w:pPr>
        <w:pStyle w:val="CommentText"/>
      </w:pPr>
    </w:p>
  </w:comment>
  <w:comment w:id="101" w:author="Norman" w:date="2022-08-25T14:30:00Z" w:initials="RM">
    <w:p w14:paraId="0490F729" w14:textId="77777777" w:rsidR="004A3EB7" w:rsidRDefault="004A3EB7">
      <w:pPr>
        <w:pStyle w:val="CommentText"/>
      </w:pPr>
      <w:r>
        <w:rPr>
          <w:rStyle w:val="CommentReference"/>
        </w:rPr>
        <w:annotationRef/>
      </w:r>
      <w:r>
        <w:t>This was originally:</w:t>
      </w:r>
    </w:p>
    <w:p w14:paraId="1254FDDD" w14:textId="285D2F21" w:rsidR="004A3EB7" w:rsidRDefault="004A3EB7">
      <w:pPr>
        <w:pStyle w:val="CommentText"/>
      </w:pPr>
      <w:r>
        <w:t>129.</w:t>
      </w:r>
      <w:r w:rsidRPr="004A3EB7">
        <w:tab/>
      </w:r>
      <w:r>
        <w:t>Moore A, Wylde V, Bruce J, Howells N, Bertram W, Eccleston C, et al. Experiences of recovery and a new care pathway for people with pain after total knee replacement: qualitative research embedded in the STAR trial. BMC Musculoskelet Disord. 2022; in press.</w:t>
      </w:r>
    </w:p>
    <w:p w14:paraId="2FE54AAB" w14:textId="77777777" w:rsidR="004A3EB7" w:rsidRDefault="004A3EB7">
      <w:pPr>
        <w:pStyle w:val="CommentText"/>
      </w:pPr>
    </w:p>
    <w:p w14:paraId="5626BD5B" w14:textId="0A6E3BE5" w:rsidR="004A3EB7" w:rsidRDefault="004A3EB7">
      <w:pPr>
        <w:pStyle w:val="CommentText"/>
      </w:pPr>
      <w:r>
        <w:t>WARNING: POTENTIAL FALSE POSITIVE: Please check carefully.</w:t>
      </w:r>
    </w:p>
  </w:comment>
  <w:comment w:id="102" w:author="NIHR standard" w:date="2022-08-25T14:30:00Z" w:initials="RM">
    <w:p w14:paraId="41FC7564" w14:textId="125920A0" w:rsidR="004A3EB7" w:rsidRDefault="004A3EB7">
      <w:pPr>
        <w:pStyle w:val="CommentText"/>
      </w:pPr>
      <w:r>
        <w:rPr>
          <w:rStyle w:val="CommentReference"/>
        </w:rPr>
        <w:annotationRef/>
      </w:r>
      <w:r>
        <w:t>The page range has been amended to match that in PubMed; OK?</w:t>
      </w:r>
    </w:p>
  </w:comment>
  <w:comment w:id="103" w:author="NIHR standard" w:date="2022-08-25T14:30:00Z" w:initials="RM">
    <w:p w14:paraId="00454A9C" w14:textId="636EA129" w:rsidR="004A3EB7" w:rsidRDefault="004A3EB7">
      <w:pPr>
        <w:pStyle w:val="CommentText"/>
      </w:pPr>
      <w:r>
        <w:rPr>
          <w:rStyle w:val="CommentReference"/>
        </w:rPr>
        <w:annotationRef/>
      </w:r>
      <w:r>
        <w:t>The volume has been amended to match that in PubMed; OK?</w:t>
      </w:r>
    </w:p>
  </w:comment>
  <w:comment w:id="104" w:author="Norman" w:date="2022-08-25T14:30:00Z" w:initials="RM">
    <w:p w14:paraId="797393A9" w14:textId="77777777" w:rsidR="004A3EB7" w:rsidRDefault="004A3EB7">
      <w:pPr>
        <w:pStyle w:val="CommentText"/>
      </w:pPr>
      <w:r>
        <w:rPr>
          <w:rStyle w:val="CommentReference"/>
        </w:rPr>
        <w:annotationRef/>
      </w:r>
      <w:r>
        <w:t>This was originally:</w:t>
      </w:r>
    </w:p>
    <w:p w14:paraId="05E942D9" w14:textId="22D8DA3B" w:rsidR="004A3EB7" w:rsidRDefault="004A3EB7">
      <w:pPr>
        <w:pStyle w:val="CommentText"/>
      </w:pPr>
      <w:r>
        <w:t>130.</w:t>
      </w:r>
      <w:r w:rsidRPr="004A3EB7">
        <w:tab/>
      </w:r>
      <w:r>
        <w:t>Wylde V, Mackichan F, Bruce J, Gooberman-Hill R. Assessment of chronic post-surgical pain after knee replacement: Development of a core outcome set. Eur J Pain. 2015;19(5):611-20.</w:t>
      </w:r>
    </w:p>
    <w:p w14:paraId="4BF12D3D" w14:textId="61F4C2FD" w:rsidR="004A3EB7" w:rsidRDefault="004A3EB7">
      <w:pPr>
        <w:pStyle w:val="CommentText"/>
      </w:pPr>
    </w:p>
  </w:comment>
  <w:comment w:id="105" w:author="Norman" w:date="2022-08-25T14:30:00Z" w:initials="RM">
    <w:p w14:paraId="4E90D6D1" w14:textId="77777777" w:rsidR="004A3EB7" w:rsidRDefault="004A3EB7">
      <w:pPr>
        <w:pStyle w:val="CommentText"/>
      </w:pPr>
      <w:r>
        <w:rPr>
          <w:rStyle w:val="CommentReference"/>
        </w:rPr>
        <w:annotationRef/>
      </w:r>
      <w:r>
        <w:t>This was originally:</w:t>
      </w:r>
    </w:p>
    <w:p w14:paraId="51EEA31F" w14:textId="45262998" w:rsidR="004A3EB7" w:rsidRDefault="004A3EB7">
      <w:pPr>
        <w:pStyle w:val="CommentText"/>
      </w:pPr>
      <w:r>
        <w:t>132.</w:t>
      </w:r>
      <w:r w:rsidRPr="004A3EB7">
        <w:tab/>
      </w:r>
      <w:r>
        <w:t>Freynhagen R, Baron R, Gockel U, Tolle TR. painDETECT: a new screening questionnaire to identify neuropathic components in patients with back pain. Curr Med Res Opin. 2006;22(10):1911-20.</w:t>
      </w:r>
    </w:p>
    <w:p w14:paraId="26512D8B" w14:textId="258DF4A2" w:rsidR="004A3EB7" w:rsidRDefault="004A3EB7">
      <w:pPr>
        <w:pStyle w:val="CommentText"/>
      </w:pPr>
    </w:p>
  </w:comment>
  <w:comment w:id="106" w:author="Norman" w:date="2022-08-25T14:30:00Z" w:initials="RM">
    <w:p w14:paraId="174A6862" w14:textId="77777777" w:rsidR="004A3EB7" w:rsidRDefault="004A3EB7">
      <w:pPr>
        <w:pStyle w:val="CommentText"/>
      </w:pPr>
      <w:r>
        <w:rPr>
          <w:rStyle w:val="CommentReference"/>
        </w:rPr>
        <w:annotationRef/>
      </w:r>
      <w:r>
        <w:t>This was originally:</w:t>
      </w:r>
    </w:p>
    <w:p w14:paraId="470665EF" w14:textId="4E80C65D" w:rsidR="004A3EB7" w:rsidRDefault="004A3EB7">
      <w:pPr>
        <w:pStyle w:val="CommentText"/>
      </w:pPr>
      <w:r>
        <w:t>133.</w:t>
      </w:r>
      <w:r w:rsidRPr="004A3EB7">
        <w:tab/>
      </w:r>
      <w:r>
        <w:t>Bouhassira D, Attal N, Alchaar H, Boureau F, Brochet B, Bruxelle J, et al. Comparison of pain syndromes associated with nervous or somatic lesions and development of a new neuropathic pain diagnostic questionnaire (DN4). Pain. 2005;114(1-2):29-36.</w:t>
      </w:r>
    </w:p>
    <w:p w14:paraId="028D34E5" w14:textId="53A39E8D" w:rsidR="004A3EB7" w:rsidRDefault="004A3EB7">
      <w:pPr>
        <w:pStyle w:val="CommentText"/>
      </w:pPr>
    </w:p>
  </w:comment>
  <w:comment w:id="107" w:author="Norman" w:date="2022-08-25T14:30:00Z" w:initials="RM">
    <w:p w14:paraId="37E44CD9" w14:textId="77777777" w:rsidR="004A3EB7" w:rsidRDefault="004A3EB7">
      <w:pPr>
        <w:pStyle w:val="CommentText"/>
      </w:pPr>
      <w:r>
        <w:rPr>
          <w:rStyle w:val="CommentReference"/>
        </w:rPr>
        <w:annotationRef/>
      </w:r>
      <w:r>
        <w:t>This was originally:</w:t>
      </w:r>
    </w:p>
    <w:p w14:paraId="5919A858" w14:textId="5D050689" w:rsidR="004A3EB7" w:rsidRDefault="004A3EB7">
      <w:pPr>
        <w:pStyle w:val="CommentText"/>
      </w:pPr>
      <w:r>
        <w:t>134.</w:t>
      </w:r>
      <w:r w:rsidRPr="004A3EB7">
        <w:tab/>
      </w:r>
      <w:r>
        <w:t>Zigmond AS, Snaith RP. The hospital anxiety and depression scale. Acta Psychiatr Scand. 1983;67(6):361-70.</w:t>
      </w:r>
    </w:p>
    <w:p w14:paraId="4BB1FE18" w14:textId="4C64FBB8" w:rsidR="004A3EB7" w:rsidRDefault="004A3EB7">
      <w:pPr>
        <w:pStyle w:val="CommentText"/>
      </w:pPr>
    </w:p>
  </w:comment>
  <w:comment w:id="108" w:author="Norman" w:date="2022-08-25T14:30:00Z" w:initials="RM">
    <w:p w14:paraId="7BEE1BC3" w14:textId="77777777" w:rsidR="004A3EB7" w:rsidRDefault="004A3EB7">
      <w:pPr>
        <w:pStyle w:val="CommentText"/>
      </w:pPr>
      <w:r>
        <w:rPr>
          <w:rStyle w:val="CommentReference"/>
        </w:rPr>
        <w:annotationRef/>
      </w:r>
      <w:r>
        <w:t>This was originally:</w:t>
      </w:r>
    </w:p>
    <w:p w14:paraId="7AEE3D77" w14:textId="277C7222" w:rsidR="004A3EB7" w:rsidRDefault="004A3EB7">
      <w:pPr>
        <w:pStyle w:val="CommentText"/>
      </w:pPr>
      <w:r>
        <w:t>136.</w:t>
      </w:r>
      <w:r w:rsidRPr="004A3EB7">
        <w:tab/>
      </w:r>
      <w:r>
        <w:t>De Vlieger P, Bussche EV, Eccleston C, Crombez G. Finding a solution to the problem of pain: conceptual formulation and the development of the Pain Solutions Questionnaire (PaSol). Pain. 2006;123(3):285-93.</w:t>
      </w:r>
    </w:p>
    <w:p w14:paraId="74F72F34" w14:textId="77777777" w:rsidR="004A3EB7" w:rsidRDefault="004A3EB7">
      <w:pPr>
        <w:pStyle w:val="CommentText"/>
      </w:pPr>
    </w:p>
    <w:p w14:paraId="416DFEEE" w14:textId="6D5EA6D7" w:rsidR="004A3EB7" w:rsidRDefault="004A3EB7">
      <w:pPr>
        <w:pStyle w:val="CommentText"/>
      </w:pPr>
      <w:r>
        <w:t>WARNING: POTENTIAL FALSE POSITIVE: Please check carefully.</w:t>
      </w:r>
    </w:p>
  </w:comment>
  <w:comment w:id="109" w:author="NIHR standard" w:date="2022-08-25T14:30:00Z" w:initials="RM">
    <w:p w14:paraId="63336B42" w14:textId="021CC11E" w:rsidR="004A3EB7" w:rsidRDefault="004A3EB7">
      <w:pPr>
        <w:pStyle w:val="CommentText"/>
      </w:pPr>
      <w:r>
        <w:rPr>
          <w:rStyle w:val="CommentReference"/>
        </w:rPr>
        <w:annotationRef/>
      </w:r>
      <w:r>
        <w:t>The first author has been amended to match that in PubMed; OK?</w:t>
      </w:r>
    </w:p>
  </w:comment>
  <w:comment w:id="110" w:author="Norman" w:date="2022-08-25T14:30:00Z" w:initials="RM">
    <w:p w14:paraId="60538B81" w14:textId="77777777" w:rsidR="004A3EB7" w:rsidRDefault="004A3EB7">
      <w:pPr>
        <w:pStyle w:val="CommentText"/>
      </w:pPr>
      <w:r>
        <w:rPr>
          <w:rStyle w:val="CommentReference"/>
        </w:rPr>
        <w:annotationRef/>
      </w:r>
      <w:r>
        <w:t>This was originally:</w:t>
      </w:r>
    </w:p>
    <w:p w14:paraId="41455FAA" w14:textId="0639F9F2" w:rsidR="004A3EB7" w:rsidRDefault="004A3EB7">
      <w:pPr>
        <w:pStyle w:val="CommentText"/>
      </w:pPr>
      <w:r>
        <w:t>137.</w:t>
      </w:r>
      <w:r w:rsidRPr="004A3EB7">
        <w:tab/>
      </w:r>
      <w:r>
        <w:t>Mahomed N, Gandh iR, Daltroy L, Katz J. The self-administered patient satisfaction scale for primary hip and knee arthroplasty. Arthritis. 2011;591253.</w:t>
      </w:r>
    </w:p>
    <w:p w14:paraId="78025C4F" w14:textId="001BB041" w:rsidR="004A3EB7" w:rsidRDefault="004A3EB7">
      <w:pPr>
        <w:pStyle w:val="CommentText"/>
      </w:pPr>
    </w:p>
  </w:comment>
  <w:comment w:id="111" w:author="Norman" w:date="2022-08-25T14:30:00Z" w:initials="RM">
    <w:p w14:paraId="08F8EFB4" w14:textId="77777777" w:rsidR="004A3EB7" w:rsidRDefault="004A3EB7">
      <w:pPr>
        <w:pStyle w:val="CommentText"/>
      </w:pPr>
      <w:r>
        <w:rPr>
          <w:rStyle w:val="CommentReference"/>
        </w:rPr>
        <w:annotationRef/>
      </w:r>
      <w:r>
        <w:t>This was originally:</w:t>
      </w:r>
    </w:p>
    <w:p w14:paraId="03C679A4" w14:textId="3986F761" w:rsidR="004A3EB7" w:rsidRDefault="004A3EB7">
      <w:pPr>
        <w:pStyle w:val="CommentText"/>
      </w:pPr>
      <w:r>
        <w:t>138.</w:t>
      </w:r>
      <w:r w:rsidRPr="004A3EB7">
        <w:tab/>
      </w:r>
      <w:r>
        <w:t>Al-Janabi H, Flynn T, Coast J. Development of a self-report measure of capability wellbeing for adults: the ICECAP-A. Qual Life Res. 2012;21(1):167-76.</w:t>
      </w:r>
    </w:p>
    <w:p w14:paraId="2DD50C5E" w14:textId="51109239" w:rsidR="004A3EB7" w:rsidRDefault="004A3EB7">
      <w:pPr>
        <w:pStyle w:val="CommentText"/>
      </w:pPr>
    </w:p>
  </w:comment>
  <w:comment w:id="112" w:author="Norman" w:date="2022-08-25T14:30:00Z" w:initials="RM">
    <w:p w14:paraId="030542E2" w14:textId="77777777" w:rsidR="004A3EB7" w:rsidRDefault="004A3EB7">
      <w:pPr>
        <w:pStyle w:val="CommentText"/>
      </w:pPr>
      <w:r>
        <w:rPr>
          <w:rStyle w:val="CommentReference"/>
        </w:rPr>
        <w:annotationRef/>
      </w:r>
      <w:r>
        <w:t>This was originally:</w:t>
      </w:r>
    </w:p>
    <w:p w14:paraId="62D3456C" w14:textId="1A4A567F" w:rsidR="004A3EB7" w:rsidRDefault="004A3EB7">
      <w:pPr>
        <w:pStyle w:val="CommentText"/>
      </w:pPr>
      <w:r>
        <w:t>139.</w:t>
      </w:r>
      <w:r w:rsidRPr="004A3EB7">
        <w:tab/>
      </w:r>
      <w:r>
        <w:t>Herdman M, Gudex C, Lloyd A, Janssen M, Kind P, Parkin D, et al. Development and preliminary testing of the new five-level version of EQ-5D (EQ-5D-5L). Qual Life Res. 2011;20(10):1727-36.</w:t>
      </w:r>
    </w:p>
    <w:p w14:paraId="184E457B" w14:textId="7BE38787" w:rsidR="004A3EB7" w:rsidRDefault="004A3EB7">
      <w:pPr>
        <w:pStyle w:val="CommentText"/>
      </w:pPr>
    </w:p>
  </w:comment>
  <w:comment w:id="113" w:author="Norman" w:date="2022-08-25T14:30:00Z" w:initials="RM">
    <w:p w14:paraId="39BD22FE" w14:textId="77777777" w:rsidR="004A3EB7" w:rsidRDefault="004A3EB7">
      <w:pPr>
        <w:pStyle w:val="CommentText"/>
      </w:pPr>
      <w:r>
        <w:rPr>
          <w:rStyle w:val="CommentReference"/>
        </w:rPr>
        <w:annotationRef/>
      </w:r>
      <w:r>
        <w:t>This was originally:</w:t>
      </w:r>
    </w:p>
    <w:p w14:paraId="614799CF" w14:textId="5C6E0084" w:rsidR="004A3EB7" w:rsidRDefault="004A3EB7">
      <w:pPr>
        <w:pStyle w:val="CommentText"/>
      </w:pPr>
      <w:r>
        <w:t>140.</w:t>
      </w:r>
      <w:r w:rsidRPr="004A3EB7">
        <w:tab/>
      </w:r>
      <w:r>
        <w:t>Ware J, Jr., Kosinski M, Keller SD. A 12-Item Short-Form Health Survey: construction of scales and preliminary tests of reliability and validity. Med Care. 1996;34(3):220-33.</w:t>
      </w:r>
    </w:p>
    <w:p w14:paraId="4E5B3E86" w14:textId="27F446A9" w:rsidR="004A3EB7" w:rsidRDefault="004A3EB7">
      <w:pPr>
        <w:pStyle w:val="CommentText"/>
      </w:pPr>
    </w:p>
  </w:comment>
  <w:comment w:id="114" w:author="Norman" w:date="2022-08-25T14:30:00Z" w:initials="RM">
    <w:p w14:paraId="158DAECB" w14:textId="77777777" w:rsidR="004A3EB7" w:rsidRDefault="004A3EB7">
      <w:pPr>
        <w:pStyle w:val="CommentText"/>
      </w:pPr>
      <w:r>
        <w:rPr>
          <w:rStyle w:val="CommentReference"/>
        </w:rPr>
        <w:annotationRef/>
      </w:r>
      <w:r>
        <w:t>This was originally:</w:t>
      </w:r>
    </w:p>
    <w:p w14:paraId="56B07DBA" w14:textId="1677B85A" w:rsidR="004A3EB7" w:rsidRDefault="004A3EB7">
      <w:pPr>
        <w:pStyle w:val="CommentText"/>
      </w:pPr>
      <w:r>
        <w:t>141.</w:t>
      </w:r>
      <w:r w:rsidRPr="004A3EB7">
        <w:tab/>
      </w:r>
      <w:r>
        <w:t>Hunt IM, Silman AJ, Benjamin S, McBeth J, Macfarlane GJ. The prevalence and associated features of chronic widespread pain in the community using the 'Manchester' definition of chronic widespread pain. Rheumatology. 1999;38(3):275-9.</w:t>
      </w:r>
    </w:p>
    <w:p w14:paraId="02CF32AD" w14:textId="3BF59060" w:rsidR="004A3EB7" w:rsidRDefault="004A3EB7">
      <w:pPr>
        <w:pStyle w:val="CommentText"/>
      </w:pPr>
    </w:p>
  </w:comment>
  <w:comment w:id="115" w:author="Norman" w:date="2022-08-25T14:30:00Z" w:initials="RM">
    <w:p w14:paraId="665F82AF" w14:textId="77777777" w:rsidR="004A3EB7" w:rsidRDefault="004A3EB7">
      <w:pPr>
        <w:pStyle w:val="CommentText"/>
      </w:pPr>
      <w:r>
        <w:rPr>
          <w:rStyle w:val="CommentReference"/>
        </w:rPr>
        <w:annotationRef/>
      </w:r>
      <w:r>
        <w:t>This was originally:</w:t>
      </w:r>
    </w:p>
    <w:p w14:paraId="2CE5CA52" w14:textId="271B16D0" w:rsidR="004A3EB7" w:rsidRDefault="004A3EB7">
      <w:pPr>
        <w:pStyle w:val="CommentText"/>
      </w:pPr>
      <w:r>
        <w:t>145.</w:t>
      </w:r>
      <w:r w:rsidRPr="004A3EB7">
        <w:tab/>
      </w:r>
      <w:r>
        <w:t>van Hout B, Janssen MF, Feng YS, Kohlmann T, Busschbach J, Golicki D, et al. Interim scoring for the EQ-5D-5L: mapping the EQ-5D-5L to EQ-5D-3L value sets. Value Health. 2012;15(5):708-15.</w:t>
      </w:r>
    </w:p>
    <w:p w14:paraId="47E1675F" w14:textId="77777777" w:rsidR="004A3EB7" w:rsidRDefault="004A3EB7">
      <w:pPr>
        <w:pStyle w:val="CommentText"/>
      </w:pPr>
    </w:p>
    <w:p w14:paraId="5BCC8F4D" w14:textId="2B9BE6F9" w:rsidR="004A3EB7" w:rsidRDefault="004A3EB7">
      <w:pPr>
        <w:pStyle w:val="CommentText"/>
      </w:pPr>
      <w:r>
        <w:t>WARNING: POTENTIAL FALSE POSITIVE: Please check carefully.</w:t>
      </w:r>
    </w:p>
  </w:comment>
  <w:comment w:id="116" w:author="NIHR standard" w:date="2022-08-25T14:30:00Z" w:initials="RM">
    <w:p w14:paraId="16F89ED3" w14:textId="065CB9B9" w:rsidR="004A3EB7" w:rsidRDefault="004A3EB7">
      <w:pPr>
        <w:pStyle w:val="CommentText"/>
      </w:pPr>
      <w:r>
        <w:rPr>
          <w:rStyle w:val="CommentReference"/>
        </w:rPr>
        <w:annotationRef/>
      </w:r>
      <w:r>
        <w:t>The first author has been amended to match that in PubMed; OK?</w:t>
      </w:r>
    </w:p>
  </w:comment>
  <w:comment w:id="117" w:author="Norman" w:date="2022-08-25T14:30:00Z" w:initials="RM">
    <w:p w14:paraId="09EE808E" w14:textId="77777777" w:rsidR="004A3EB7" w:rsidRDefault="004A3EB7">
      <w:pPr>
        <w:pStyle w:val="CommentText"/>
      </w:pPr>
      <w:r>
        <w:rPr>
          <w:rStyle w:val="CommentReference"/>
        </w:rPr>
        <w:annotationRef/>
      </w:r>
      <w:r>
        <w:t>This was originally:</w:t>
      </w:r>
    </w:p>
    <w:p w14:paraId="0DA9D731" w14:textId="1FEFFCE1" w:rsidR="004A3EB7" w:rsidRDefault="004A3EB7">
      <w:pPr>
        <w:pStyle w:val="CommentText"/>
      </w:pPr>
      <w:r>
        <w:t>146.</w:t>
      </w:r>
      <w:r w:rsidRPr="004A3EB7">
        <w:tab/>
      </w:r>
      <w:r>
        <w:t>Smith MC, Ben-Shlomo Y, Dieppe P, Beswick AD, Adebajo AO, Wilkinson JM, et al. Rates of hip and knee joint replacement amongst different ethnic groups in England: an analysis of National Joint Registry data. Osteoarthritis Cartilage. 2017;25(4):448-54.</w:t>
      </w:r>
    </w:p>
    <w:p w14:paraId="57C7934D" w14:textId="62F5E046" w:rsidR="004A3EB7" w:rsidRDefault="004A3EB7">
      <w:pPr>
        <w:pStyle w:val="CommentText"/>
      </w:pPr>
    </w:p>
  </w:comment>
  <w:comment w:id="118" w:author="Norman" w:date="2022-08-25T14:31:00Z" w:initials="RM">
    <w:p w14:paraId="64DF4C9A" w14:textId="77777777" w:rsidR="004A3EB7" w:rsidRDefault="004A3EB7">
      <w:pPr>
        <w:pStyle w:val="CommentText"/>
      </w:pPr>
      <w:r>
        <w:rPr>
          <w:rStyle w:val="CommentReference"/>
        </w:rPr>
        <w:annotationRef/>
      </w:r>
      <w:r>
        <w:t>This was originally:</w:t>
      </w:r>
    </w:p>
    <w:p w14:paraId="12B46914" w14:textId="23162D1D" w:rsidR="004A3EB7" w:rsidRDefault="004A3EB7">
      <w:pPr>
        <w:pStyle w:val="CommentText"/>
      </w:pPr>
      <w:r>
        <w:t>152.</w:t>
      </w:r>
      <w:r w:rsidRPr="004A3EB7">
        <w:tab/>
      </w:r>
      <w:r>
        <w:t>Scott SE, Walter FM, Webster A, Sutton S, Emery J. The model of pathways to treatment: conceptualization and integration with existing theory. Br J Health Psychol. 2013;18(1):45-65.</w:t>
      </w:r>
    </w:p>
    <w:p w14:paraId="1B661460" w14:textId="658AA3A2" w:rsidR="004A3EB7" w:rsidRDefault="004A3EB7">
      <w:pPr>
        <w:pStyle w:val="CommentText"/>
      </w:pPr>
    </w:p>
  </w:comment>
  <w:comment w:id="119" w:author="Norman" w:date="2022-08-25T14:31:00Z" w:initials="RM">
    <w:p w14:paraId="2C728C5E" w14:textId="77777777" w:rsidR="004A3EB7" w:rsidRDefault="004A3EB7">
      <w:pPr>
        <w:pStyle w:val="CommentText"/>
      </w:pPr>
      <w:r>
        <w:rPr>
          <w:rStyle w:val="CommentReference"/>
        </w:rPr>
        <w:annotationRef/>
      </w:r>
      <w:r>
        <w:t>This was originally:</w:t>
      </w:r>
    </w:p>
    <w:p w14:paraId="5B2C83D6" w14:textId="76D413D2" w:rsidR="004A3EB7" w:rsidRDefault="004A3EB7">
      <w:pPr>
        <w:pStyle w:val="CommentText"/>
      </w:pPr>
      <w:r>
        <w:t>153.</w:t>
      </w:r>
      <w:r w:rsidRPr="004A3EB7">
        <w:tab/>
      </w:r>
      <w:r>
        <w:t>May C. Towards a general theory of implementation. Implement Sci. 2013;8:18.</w:t>
      </w:r>
    </w:p>
    <w:p w14:paraId="2840E91A" w14:textId="417FB416" w:rsidR="004A3EB7" w:rsidRDefault="004A3EB7">
      <w:pPr>
        <w:pStyle w:val="CommentText"/>
      </w:pPr>
    </w:p>
  </w:comment>
  <w:comment w:id="120" w:author="Norman" w:date="2022-08-25T14:31:00Z" w:initials="RM">
    <w:p w14:paraId="24596190" w14:textId="77777777" w:rsidR="004A3EB7" w:rsidRDefault="004A3EB7">
      <w:pPr>
        <w:pStyle w:val="CommentText"/>
      </w:pPr>
      <w:r>
        <w:rPr>
          <w:rStyle w:val="CommentReference"/>
        </w:rPr>
        <w:annotationRef/>
      </w:r>
      <w:r>
        <w:t>This was originally:</w:t>
      </w:r>
    </w:p>
    <w:p w14:paraId="75AAABC1" w14:textId="1C0C3FB4" w:rsidR="004A3EB7" w:rsidRDefault="004A3EB7">
      <w:pPr>
        <w:pStyle w:val="CommentText"/>
      </w:pPr>
      <w:r>
        <w:t>154.</w:t>
      </w:r>
      <w:r w:rsidRPr="004A3EB7">
        <w:tab/>
      </w:r>
      <w:r>
        <w:t>Peters DH, Adam T, Alonge O, Agyepong IA, Tran N. Implementation research: what it is and how to do it. BMJ. 2013;347:f6753.</w:t>
      </w:r>
    </w:p>
    <w:p w14:paraId="78704489" w14:textId="140096ED" w:rsidR="004A3EB7" w:rsidRDefault="004A3EB7">
      <w:pPr>
        <w:pStyle w:val="CommentText"/>
      </w:pPr>
    </w:p>
  </w:comment>
  <w:comment w:id="121" w:author="Norman" w:date="2022-08-25T14:31:00Z" w:initials="RM">
    <w:p w14:paraId="62DA3571" w14:textId="77777777" w:rsidR="004A3EB7" w:rsidRDefault="004A3EB7">
      <w:pPr>
        <w:pStyle w:val="CommentText"/>
      </w:pPr>
      <w:r>
        <w:rPr>
          <w:rStyle w:val="CommentReference"/>
        </w:rPr>
        <w:annotationRef/>
      </w:r>
      <w:r>
        <w:t>This was originally:</w:t>
      </w:r>
    </w:p>
    <w:p w14:paraId="266F5019" w14:textId="6EB89860" w:rsidR="004A3EB7" w:rsidRDefault="004A3EB7">
      <w:pPr>
        <w:pStyle w:val="CommentText"/>
      </w:pPr>
      <w:r>
        <w:t>155.</w:t>
      </w:r>
      <w:r w:rsidRPr="004A3EB7">
        <w:tab/>
      </w:r>
      <w:r>
        <w:t>McEvoy R, Ballini L, Maltoni S, O'Donnell CA, Mair FS, Macfarlane A. A qualitative systematic review of studies using the normalization process theory to research implementation processes. Implement Sci. 2014;9:2.</w:t>
      </w:r>
    </w:p>
    <w:p w14:paraId="2D98E543" w14:textId="68412683" w:rsidR="004A3EB7" w:rsidRDefault="004A3EB7">
      <w:pPr>
        <w:pStyle w:val="CommentText"/>
      </w:pPr>
    </w:p>
  </w:comment>
  <w:comment w:id="122" w:author="Norman" w:date="2022-08-25T14:31:00Z" w:initials="RM">
    <w:p w14:paraId="5EFDCBA0" w14:textId="77777777" w:rsidR="004A3EB7" w:rsidRDefault="004A3EB7">
      <w:pPr>
        <w:pStyle w:val="CommentText"/>
      </w:pPr>
      <w:r>
        <w:rPr>
          <w:rStyle w:val="CommentReference"/>
        </w:rPr>
        <w:annotationRef/>
      </w:r>
      <w:r>
        <w:t>This was originally:</w:t>
      </w:r>
    </w:p>
    <w:p w14:paraId="58277DFB" w14:textId="23608580" w:rsidR="004A3EB7" w:rsidRDefault="004A3EB7">
      <w:pPr>
        <w:pStyle w:val="CommentText"/>
      </w:pPr>
      <w:r>
        <w:t>156.</w:t>
      </w:r>
      <w:r w:rsidRPr="004A3EB7">
        <w:tab/>
      </w:r>
      <w:r>
        <w:t>Elo S, Kyngas H. The qualitative content analysis process. J Adv Nurs. 2008;62(1):107-15.</w:t>
      </w:r>
    </w:p>
    <w:p w14:paraId="1A3A84A8" w14:textId="77777777" w:rsidR="004A3EB7" w:rsidRDefault="004A3EB7">
      <w:pPr>
        <w:pStyle w:val="CommentText"/>
      </w:pPr>
    </w:p>
    <w:p w14:paraId="5AE97CCB" w14:textId="51FFEC7C" w:rsidR="004A3EB7" w:rsidRDefault="004A3EB7">
      <w:pPr>
        <w:pStyle w:val="CommentText"/>
      </w:pPr>
      <w:r>
        <w:t>WARNING: POTENTIAL FALSE POSITIVE: Please check carefully.</w:t>
      </w:r>
    </w:p>
  </w:comment>
  <w:comment w:id="123" w:author="NIHR standard" w:date="2022-08-25T14:31:00Z" w:initials="RM">
    <w:p w14:paraId="62202783" w14:textId="2CBC3307" w:rsidR="004A3EB7" w:rsidRDefault="004A3EB7">
      <w:pPr>
        <w:pStyle w:val="CommentText"/>
      </w:pPr>
      <w:r>
        <w:rPr>
          <w:rStyle w:val="CommentReference"/>
        </w:rPr>
        <w:annotationRef/>
      </w:r>
      <w:r>
        <w:t>The second author has been amended to match that in PubMed; OK?.</w:t>
      </w:r>
    </w:p>
  </w:comment>
  <w:comment w:id="124" w:author="Norman" w:date="2022-08-25T14:31:00Z" w:initials="RM">
    <w:p w14:paraId="70AAFC11" w14:textId="77777777" w:rsidR="004A3EB7" w:rsidRDefault="004A3EB7">
      <w:pPr>
        <w:pStyle w:val="CommentText"/>
      </w:pPr>
      <w:r>
        <w:rPr>
          <w:rStyle w:val="CommentReference"/>
        </w:rPr>
        <w:annotationRef/>
      </w:r>
      <w:r>
        <w:t>This was originally:</w:t>
      </w:r>
    </w:p>
    <w:p w14:paraId="7117DE1F" w14:textId="78A46A45" w:rsidR="004A3EB7" w:rsidRDefault="004A3EB7">
      <w:pPr>
        <w:pStyle w:val="CommentText"/>
      </w:pPr>
      <w:r>
        <w:t>158.</w:t>
      </w:r>
      <w:r w:rsidRPr="004A3EB7">
        <w:tab/>
      </w:r>
      <w:r>
        <w:t>Manca A, Hawkins N, Sculpher MJ. Estimating mean QALYs in trial-based cost-effectiveness analysis: the importance of controlling for baseline utility. Health Econ. 2005;14(5):487-96.</w:t>
      </w:r>
    </w:p>
    <w:p w14:paraId="6D18E176" w14:textId="6A94FF6D" w:rsidR="004A3EB7" w:rsidRDefault="004A3EB7">
      <w:pPr>
        <w:pStyle w:val="CommentText"/>
      </w:pPr>
    </w:p>
  </w:comment>
  <w:comment w:id="125" w:author="Norman" w:date="2022-08-25T14:31:00Z" w:initials="RM">
    <w:p w14:paraId="712EE668" w14:textId="77777777" w:rsidR="004A3EB7" w:rsidRDefault="004A3EB7">
      <w:pPr>
        <w:pStyle w:val="CommentText"/>
      </w:pPr>
      <w:r>
        <w:rPr>
          <w:rStyle w:val="CommentReference"/>
        </w:rPr>
        <w:annotationRef/>
      </w:r>
      <w:r>
        <w:t>This was originally:</w:t>
      </w:r>
    </w:p>
    <w:p w14:paraId="4A928973" w14:textId="186AF98C" w:rsidR="004A3EB7" w:rsidRDefault="004A3EB7">
      <w:pPr>
        <w:pStyle w:val="CommentText"/>
      </w:pPr>
      <w:r>
        <w:t>159.</w:t>
      </w:r>
      <w:r w:rsidRPr="004A3EB7">
        <w:tab/>
      </w:r>
      <w:r>
        <w:t>Kiran A, Bottomley N, Biant LC, Javaid MK, Carr AJ, Cooper C, et al. Variations in good patient reported outcomes after total knee arthroplasty. J Arthroplasty. 2015;30(8):1364-71.</w:t>
      </w:r>
    </w:p>
    <w:p w14:paraId="77023D7A" w14:textId="2F4A25A2" w:rsidR="004A3EB7" w:rsidRDefault="004A3EB7">
      <w:pPr>
        <w:pStyle w:val="CommentText"/>
      </w:pPr>
    </w:p>
  </w:comment>
  <w:comment w:id="126" w:author="Norman" w:date="2022-08-25T14:31:00Z" w:initials="RM">
    <w:p w14:paraId="2A5049C1" w14:textId="77777777" w:rsidR="004A3EB7" w:rsidRDefault="004A3EB7">
      <w:pPr>
        <w:pStyle w:val="CommentText"/>
      </w:pPr>
      <w:r>
        <w:rPr>
          <w:rStyle w:val="CommentReference"/>
        </w:rPr>
        <w:annotationRef/>
      </w:r>
      <w:r>
        <w:t>This was originally:</w:t>
      </w:r>
    </w:p>
    <w:p w14:paraId="212E73F7" w14:textId="6378065A" w:rsidR="004A3EB7" w:rsidRDefault="004A3EB7">
      <w:pPr>
        <w:pStyle w:val="CommentText"/>
      </w:pPr>
      <w:r>
        <w:t>160.</w:t>
      </w:r>
      <w:r w:rsidRPr="004A3EB7">
        <w:tab/>
      </w:r>
      <w:r>
        <w:t>Kang S. Assessing responsiveness of the EQ-5D-3L, the Oxford Hip Score, and the Oxford Knee Score in the NHS patient-reported outcome measures. J Orthop Surg Res. 2021;16(1):18.</w:t>
      </w:r>
    </w:p>
    <w:p w14:paraId="4821CC7C" w14:textId="652A41E2" w:rsidR="004A3EB7" w:rsidRDefault="004A3EB7">
      <w:pPr>
        <w:pStyle w:val="CommentText"/>
      </w:pPr>
    </w:p>
  </w:comment>
  <w:comment w:id="127" w:author="Norman" w:date="2022-08-25T14:31:00Z" w:initials="RM">
    <w:p w14:paraId="123E26C7" w14:textId="77777777" w:rsidR="004A3EB7" w:rsidRDefault="004A3EB7">
      <w:pPr>
        <w:pStyle w:val="CommentText"/>
      </w:pPr>
      <w:r>
        <w:rPr>
          <w:rStyle w:val="CommentReference"/>
        </w:rPr>
        <w:annotationRef/>
      </w:r>
      <w:r>
        <w:t>This was originally:</w:t>
      </w:r>
    </w:p>
    <w:p w14:paraId="589ED974" w14:textId="0E409501" w:rsidR="004A3EB7" w:rsidRDefault="004A3EB7">
      <w:pPr>
        <w:pStyle w:val="CommentText"/>
      </w:pPr>
      <w:r>
        <w:t>162.</w:t>
      </w:r>
      <w:r w:rsidRPr="004A3EB7">
        <w:tab/>
      </w:r>
      <w:r>
        <w:t>May CR, Mair F, Finch T, MacFarlane A, Dowrick C, Treweek S, et al. Development of a theory of implementation and integration: Normalization Process Theory. Implementation Science. 2009;4(1):29.</w:t>
      </w:r>
    </w:p>
    <w:p w14:paraId="4210E938" w14:textId="7562568A" w:rsidR="004A3EB7" w:rsidRDefault="004A3EB7">
      <w:pPr>
        <w:pStyle w:val="CommentText"/>
      </w:pPr>
    </w:p>
  </w:comment>
  <w:comment w:id="128" w:author="Norman" w:date="2022-08-25T14:31:00Z" w:initials="RM">
    <w:p w14:paraId="328EA1FE" w14:textId="77777777" w:rsidR="004A3EB7" w:rsidRDefault="004A3EB7">
      <w:pPr>
        <w:pStyle w:val="CommentText"/>
      </w:pPr>
      <w:r>
        <w:rPr>
          <w:rStyle w:val="CommentReference"/>
        </w:rPr>
        <w:annotationRef/>
      </w:r>
      <w:r>
        <w:t>This was originally:</w:t>
      </w:r>
    </w:p>
    <w:p w14:paraId="2A3C68AA" w14:textId="5EF51099" w:rsidR="004A3EB7" w:rsidRDefault="004A3EB7">
      <w:pPr>
        <w:pStyle w:val="CommentText"/>
      </w:pPr>
      <w:r>
        <w:t>163.</w:t>
      </w:r>
      <w:r w:rsidRPr="004A3EB7">
        <w:tab/>
      </w:r>
      <w:r>
        <w:t>Murray E, Treweek S, Pope C, MacFarlane A, Ballini L, Dowrick C, et al. Normalisation process theory: a framework for developing, evaluating and implementing complex interventions. BMC Med. 2010;8:63.</w:t>
      </w:r>
    </w:p>
    <w:p w14:paraId="2DE22A20" w14:textId="24E96E62" w:rsidR="004A3EB7" w:rsidRDefault="004A3EB7">
      <w:pPr>
        <w:pStyle w:val="CommentText"/>
      </w:pPr>
    </w:p>
  </w:comment>
  <w:comment w:id="129" w:author="Norman" w:date="2022-08-25T14:31:00Z" w:initials="RM">
    <w:p w14:paraId="5FEC930F" w14:textId="77777777" w:rsidR="004A3EB7" w:rsidRDefault="004A3EB7">
      <w:pPr>
        <w:pStyle w:val="CommentText"/>
      </w:pPr>
      <w:r>
        <w:rPr>
          <w:rStyle w:val="CommentReference"/>
        </w:rPr>
        <w:annotationRef/>
      </w:r>
      <w:r>
        <w:t>This was originally:</w:t>
      </w:r>
    </w:p>
    <w:p w14:paraId="4E3C4F5A" w14:textId="3380A928" w:rsidR="004A3EB7" w:rsidRDefault="004A3EB7">
      <w:pPr>
        <w:pStyle w:val="CommentText"/>
      </w:pPr>
      <w:r>
        <w:t>164.</w:t>
      </w:r>
      <w:r w:rsidRPr="004A3EB7">
        <w:tab/>
      </w:r>
      <w:r>
        <w:t>Allen KD, Bierma-Zeinstra SM, Foster NE, Golightly YM, Hawker G. OARSI Clinical Trials Recommendations: Design and conduct of implementation trials of interventions for osteoarthritis. Osteoarthritis Cartilage. 2015;23(5):826-38.</w:t>
      </w:r>
    </w:p>
    <w:p w14:paraId="529F10C7" w14:textId="548D5D2C" w:rsidR="004A3EB7" w:rsidRDefault="004A3EB7">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E5D6B5" w15:done="0"/>
  <w15:commentEx w15:paraId="6E05D953" w15:done="0"/>
  <w15:commentEx w15:paraId="7877DC02" w15:done="0"/>
  <w15:commentEx w15:paraId="33DF9B52" w15:done="0"/>
  <w15:commentEx w15:paraId="34DAB857" w15:done="0"/>
  <w15:commentEx w15:paraId="29706336" w15:done="0"/>
  <w15:commentEx w15:paraId="4D68C1BA" w15:done="0"/>
  <w15:commentEx w15:paraId="1A83A0F6" w15:done="0"/>
  <w15:commentEx w15:paraId="2874753B" w15:done="0"/>
  <w15:commentEx w15:paraId="63CAA3C3" w15:done="0"/>
  <w15:commentEx w15:paraId="6C56208C" w15:done="0"/>
  <w15:commentEx w15:paraId="607CEDD7" w15:done="0"/>
  <w15:commentEx w15:paraId="2EED25A3" w15:done="0"/>
  <w15:commentEx w15:paraId="210ED649" w15:done="0"/>
  <w15:commentEx w15:paraId="23119A2A" w15:done="0"/>
  <w15:commentEx w15:paraId="0E8243A8" w15:done="0"/>
  <w15:commentEx w15:paraId="6D160510" w15:done="0"/>
  <w15:commentEx w15:paraId="75AA555A" w15:done="0"/>
  <w15:commentEx w15:paraId="7013D3F3" w15:done="0"/>
  <w15:commentEx w15:paraId="32095989" w15:done="0"/>
  <w15:commentEx w15:paraId="41691F5F" w15:done="0"/>
  <w15:commentEx w15:paraId="7F10A7FE" w15:done="0"/>
  <w15:commentEx w15:paraId="7DBD2E36" w15:done="0"/>
  <w15:commentEx w15:paraId="5A57F1A1" w15:done="0"/>
  <w15:commentEx w15:paraId="3774F84D" w15:done="0"/>
  <w15:commentEx w15:paraId="6B3543FD" w15:done="0"/>
  <w15:commentEx w15:paraId="2FBF0148" w15:done="0"/>
  <w15:commentEx w15:paraId="39B054F3" w15:done="0"/>
  <w15:commentEx w15:paraId="128F263C" w15:done="0"/>
  <w15:commentEx w15:paraId="060053D7" w15:done="0"/>
  <w15:commentEx w15:paraId="280DA755" w15:done="0"/>
  <w15:commentEx w15:paraId="07BB4843" w15:done="0"/>
  <w15:commentEx w15:paraId="14DCF068" w15:done="0"/>
  <w15:commentEx w15:paraId="69725D06" w15:done="0"/>
  <w15:commentEx w15:paraId="386F75B6" w15:done="0"/>
  <w15:commentEx w15:paraId="367BC77B" w15:done="0"/>
  <w15:commentEx w15:paraId="5A6E831C" w15:done="0"/>
  <w15:commentEx w15:paraId="2509D964" w15:done="0"/>
  <w15:commentEx w15:paraId="07016309" w15:done="0"/>
  <w15:commentEx w15:paraId="1695735F" w15:done="0"/>
  <w15:commentEx w15:paraId="3980E258" w15:done="0"/>
  <w15:commentEx w15:paraId="23BE4117" w15:done="0"/>
  <w15:commentEx w15:paraId="6005391C" w15:done="0"/>
  <w15:commentEx w15:paraId="5E15DE6C" w15:done="0"/>
  <w15:commentEx w15:paraId="0141D5FB" w15:done="0"/>
  <w15:commentEx w15:paraId="421068B7" w15:done="0"/>
  <w15:commentEx w15:paraId="7A53BB91" w15:done="0"/>
  <w15:commentEx w15:paraId="6BC0A8F0" w15:done="0"/>
  <w15:commentEx w15:paraId="3DBD8A17" w15:done="0"/>
  <w15:commentEx w15:paraId="6626915C" w15:done="0"/>
  <w15:commentEx w15:paraId="412FDF0B" w15:done="0"/>
  <w15:commentEx w15:paraId="4E5D8E8C" w15:done="0"/>
  <w15:commentEx w15:paraId="6CE7615A" w15:done="0"/>
  <w15:commentEx w15:paraId="6C5643BA" w15:done="0"/>
  <w15:commentEx w15:paraId="677882DE" w15:done="0"/>
  <w15:commentEx w15:paraId="0618CDB8" w15:done="0"/>
  <w15:commentEx w15:paraId="4681E5B8" w15:done="0"/>
  <w15:commentEx w15:paraId="4D5AD58F" w15:done="0"/>
  <w15:commentEx w15:paraId="0C1244F0" w15:done="0"/>
  <w15:commentEx w15:paraId="24CBC298" w15:done="0"/>
  <w15:commentEx w15:paraId="263F1575" w15:done="0"/>
  <w15:commentEx w15:paraId="61D6D7C7" w15:done="0"/>
  <w15:commentEx w15:paraId="40EFD6BA" w15:done="0"/>
  <w15:commentEx w15:paraId="3CE863A0" w15:done="0"/>
  <w15:commentEx w15:paraId="75BB7C0B" w15:done="0"/>
  <w15:commentEx w15:paraId="4E80AEE7" w15:done="0"/>
  <w15:commentEx w15:paraId="43484854" w15:done="0"/>
  <w15:commentEx w15:paraId="2D6139DA" w15:done="0"/>
  <w15:commentEx w15:paraId="5338E261" w15:done="0"/>
  <w15:commentEx w15:paraId="4401D4BD" w15:done="0"/>
  <w15:commentEx w15:paraId="6AF6B311" w15:done="0"/>
  <w15:commentEx w15:paraId="116EF6E2" w15:done="0"/>
  <w15:commentEx w15:paraId="58EE088E" w15:done="0"/>
  <w15:commentEx w15:paraId="7DE90EE0" w15:done="0"/>
  <w15:commentEx w15:paraId="2AD656D3" w15:done="0"/>
  <w15:commentEx w15:paraId="453A1A8B" w15:done="0"/>
  <w15:commentEx w15:paraId="3791A42A" w15:done="0"/>
  <w15:commentEx w15:paraId="5E2D78B7" w15:done="0"/>
  <w15:commentEx w15:paraId="2A035B5E" w15:done="0"/>
  <w15:commentEx w15:paraId="3251BA85" w15:done="0"/>
  <w15:commentEx w15:paraId="2FA144D1" w15:done="0"/>
  <w15:commentEx w15:paraId="63654DA1" w15:done="0"/>
  <w15:commentEx w15:paraId="348E402C" w15:done="0"/>
  <w15:commentEx w15:paraId="4814B3A7" w15:done="0"/>
  <w15:commentEx w15:paraId="0437BC98" w15:done="0"/>
  <w15:commentEx w15:paraId="63F11A99" w15:done="0"/>
  <w15:commentEx w15:paraId="0769CD98" w15:done="0"/>
  <w15:commentEx w15:paraId="4243E8E6" w15:done="0"/>
  <w15:commentEx w15:paraId="2C661907" w15:done="0"/>
  <w15:commentEx w15:paraId="045B55FD" w15:done="0"/>
  <w15:commentEx w15:paraId="0B851F34" w15:done="0"/>
  <w15:commentEx w15:paraId="753E779B" w15:done="0"/>
  <w15:commentEx w15:paraId="0E2D361A" w15:done="0"/>
  <w15:commentEx w15:paraId="07E48E0E" w15:done="0"/>
  <w15:commentEx w15:paraId="12FC91B6" w15:done="0"/>
  <w15:commentEx w15:paraId="17A85CF9" w15:done="0"/>
  <w15:commentEx w15:paraId="4950145A" w15:done="0"/>
  <w15:commentEx w15:paraId="3B8ECDB3" w15:done="0"/>
  <w15:commentEx w15:paraId="61F9F11D" w15:done="0"/>
  <w15:commentEx w15:paraId="0DAD9F23" w15:done="0"/>
  <w15:commentEx w15:paraId="5626BD5B" w15:done="0"/>
  <w15:commentEx w15:paraId="41FC7564" w15:done="0"/>
  <w15:commentEx w15:paraId="00454A9C" w15:done="0"/>
  <w15:commentEx w15:paraId="4BF12D3D" w15:done="0"/>
  <w15:commentEx w15:paraId="26512D8B" w15:done="0"/>
  <w15:commentEx w15:paraId="028D34E5" w15:done="0"/>
  <w15:commentEx w15:paraId="4BB1FE18" w15:done="0"/>
  <w15:commentEx w15:paraId="416DFEEE" w15:done="0"/>
  <w15:commentEx w15:paraId="63336B42" w15:done="0"/>
  <w15:commentEx w15:paraId="78025C4F" w15:done="0"/>
  <w15:commentEx w15:paraId="2DD50C5E" w15:done="0"/>
  <w15:commentEx w15:paraId="184E457B" w15:done="0"/>
  <w15:commentEx w15:paraId="4E5B3E86" w15:done="0"/>
  <w15:commentEx w15:paraId="02CF32AD" w15:done="0"/>
  <w15:commentEx w15:paraId="5BCC8F4D" w15:done="0"/>
  <w15:commentEx w15:paraId="16F89ED3" w15:done="0"/>
  <w15:commentEx w15:paraId="57C7934D" w15:done="0"/>
  <w15:commentEx w15:paraId="1B661460" w15:done="0"/>
  <w15:commentEx w15:paraId="2840E91A" w15:done="0"/>
  <w15:commentEx w15:paraId="78704489" w15:done="0"/>
  <w15:commentEx w15:paraId="2D98E543" w15:done="0"/>
  <w15:commentEx w15:paraId="5AE97CCB" w15:done="0"/>
  <w15:commentEx w15:paraId="62202783" w15:done="0"/>
  <w15:commentEx w15:paraId="6D18E176" w15:done="0"/>
  <w15:commentEx w15:paraId="77023D7A" w15:done="0"/>
  <w15:commentEx w15:paraId="4821CC7C" w15:done="0"/>
  <w15:commentEx w15:paraId="4210E938" w15:done="0"/>
  <w15:commentEx w15:paraId="2DE22A20" w15:done="0"/>
  <w15:commentEx w15:paraId="529F10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2059E" w16cex:dateUtc="2022-08-25T13:28:00Z"/>
  <w16cex:commentExtensible w16cex:durableId="26B2059F" w16cex:dateUtc="2022-08-25T13:28:00Z"/>
  <w16cex:commentExtensible w16cex:durableId="26B205A0" w16cex:dateUtc="2022-08-25T13:28:00Z"/>
  <w16cex:commentExtensible w16cex:durableId="26B205A1" w16cex:dateUtc="2022-08-25T13:28:00Z"/>
  <w16cex:commentExtensible w16cex:durableId="26B205A2" w16cex:dateUtc="2022-08-25T13:28:00Z"/>
  <w16cex:commentExtensible w16cex:durableId="26B205A3" w16cex:dateUtc="2022-08-25T13:28:00Z"/>
  <w16cex:commentExtensible w16cex:durableId="26B205A4" w16cex:dateUtc="2022-08-25T13:28:00Z"/>
  <w16cex:commentExtensible w16cex:durableId="26B205A5" w16cex:dateUtc="2022-08-25T13:28:00Z"/>
  <w16cex:commentExtensible w16cex:durableId="26B205A6" w16cex:dateUtc="2022-08-25T13:28:00Z"/>
  <w16cex:commentExtensible w16cex:durableId="26B205A7" w16cex:dateUtc="2022-08-25T13:28:00Z"/>
  <w16cex:commentExtensible w16cex:durableId="26B205A8" w16cex:dateUtc="2022-08-25T13:28:00Z"/>
  <w16cex:commentExtensible w16cex:durableId="26B205A9" w16cex:dateUtc="2022-08-25T13:28:00Z"/>
  <w16cex:commentExtensible w16cex:durableId="26B205AA" w16cex:dateUtc="2022-08-25T13:28:00Z"/>
  <w16cex:commentExtensible w16cex:durableId="26B205AB" w16cex:dateUtc="2022-08-25T13:28:00Z"/>
  <w16cex:commentExtensible w16cex:durableId="26B205AC" w16cex:dateUtc="2022-08-25T13:28:00Z"/>
  <w16cex:commentExtensible w16cex:durableId="26B205B1" w16cex:dateUtc="2022-08-25T13:29:00Z"/>
  <w16cex:commentExtensible w16cex:durableId="26B205B2" w16cex:dateUtc="2022-08-25T13:29:00Z"/>
  <w16cex:commentExtensible w16cex:durableId="26B205B5" w16cex:dateUtc="2022-08-25T13:29:00Z"/>
  <w16cex:commentExtensible w16cex:durableId="26B205B6" w16cex:dateUtc="2022-08-25T13:29:00Z"/>
  <w16cex:commentExtensible w16cex:durableId="26B205B7" w16cex:dateUtc="2022-08-25T13:29:00Z"/>
  <w16cex:commentExtensible w16cex:durableId="26B205B8" w16cex:dateUtc="2022-08-25T13:29:00Z"/>
  <w16cex:commentExtensible w16cex:durableId="26B205B9" w16cex:dateUtc="2022-08-25T13:29:00Z"/>
  <w16cex:commentExtensible w16cex:durableId="26B205BA" w16cex:dateUtc="2022-08-25T13:29:00Z"/>
  <w16cex:commentExtensible w16cex:durableId="26B205BB" w16cex:dateUtc="2022-08-25T13:29:00Z"/>
  <w16cex:commentExtensible w16cex:durableId="26B205BC" w16cex:dateUtc="2022-08-25T13:29:00Z"/>
  <w16cex:commentExtensible w16cex:durableId="26B205BD" w16cex:dateUtc="2022-08-25T13:29:00Z"/>
  <w16cex:commentExtensible w16cex:durableId="26B205BE" w16cex:dateUtc="2022-08-25T13:29:00Z"/>
  <w16cex:commentExtensible w16cex:durableId="26B205C2" w16cex:dateUtc="2022-08-25T13:29:00Z"/>
  <w16cex:commentExtensible w16cex:durableId="26B205C3" w16cex:dateUtc="2022-08-25T13:29:00Z"/>
  <w16cex:commentExtensible w16cex:durableId="26B205C4" w16cex:dateUtc="2022-08-25T13:29:00Z"/>
  <w16cex:commentExtensible w16cex:durableId="26B205C5" w16cex:dateUtc="2022-08-25T13:29:00Z"/>
  <w16cex:commentExtensible w16cex:durableId="26B205C6" w16cex:dateUtc="2022-08-25T13:29:00Z"/>
  <w16cex:commentExtensible w16cex:durableId="26B205C7" w16cex:dateUtc="2022-08-25T13:29:00Z"/>
  <w16cex:commentExtensible w16cex:durableId="26B205C8" w16cex:dateUtc="2022-08-25T13:29:00Z"/>
  <w16cex:commentExtensible w16cex:durableId="26B205C9" w16cex:dateUtc="2022-08-25T13:29:00Z"/>
  <w16cex:commentExtensible w16cex:durableId="26B205CA" w16cex:dateUtc="2022-08-25T13:29:00Z"/>
  <w16cex:commentExtensible w16cex:durableId="26B205CB" w16cex:dateUtc="2022-08-25T13:29:00Z"/>
  <w16cex:commentExtensible w16cex:durableId="26B205CC" w16cex:dateUtc="2022-08-25T13:29:00Z"/>
  <w16cex:commentExtensible w16cex:durableId="26B205CD" w16cex:dateUtc="2022-08-25T13:29:00Z"/>
  <w16cex:commentExtensible w16cex:durableId="26B205CE" w16cex:dateUtc="2022-08-25T13:29:00Z"/>
  <w16cex:commentExtensible w16cex:durableId="26B205CF" w16cex:dateUtc="2022-08-25T13:29:00Z"/>
  <w16cex:commentExtensible w16cex:durableId="26B205D0" w16cex:dateUtc="2022-08-25T13:29:00Z"/>
  <w16cex:commentExtensible w16cex:durableId="26B205D1" w16cex:dateUtc="2022-08-25T13:29:00Z"/>
  <w16cex:commentExtensible w16cex:durableId="26B205D2" w16cex:dateUtc="2022-08-25T13:29:00Z"/>
  <w16cex:commentExtensible w16cex:durableId="26B205D3" w16cex:dateUtc="2022-08-25T13:29:00Z"/>
  <w16cex:commentExtensible w16cex:durableId="26B205D4" w16cex:dateUtc="2022-08-25T13:29:00Z"/>
  <w16cex:commentExtensible w16cex:durableId="26B205D5" w16cex:dateUtc="2022-08-25T13:29:00Z"/>
  <w16cex:commentExtensible w16cex:durableId="26B205D6" w16cex:dateUtc="2022-08-25T13:29:00Z"/>
  <w16cex:commentExtensible w16cex:durableId="26B205D7" w16cex:dateUtc="2022-08-25T13:29:00Z"/>
  <w16cex:commentExtensible w16cex:durableId="26B205D8" w16cex:dateUtc="2022-08-25T13:29:00Z"/>
  <w16cex:commentExtensible w16cex:durableId="26B205D9" w16cex:dateUtc="2022-08-25T13:29:00Z"/>
  <w16cex:commentExtensible w16cex:durableId="26B205DA" w16cex:dateUtc="2022-08-25T13:29:00Z"/>
  <w16cex:commentExtensible w16cex:durableId="26B205DB" w16cex:dateUtc="2022-08-25T13:29:00Z"/>
  <w16cex:commentExtensible w16cex:durableId="26B205DC" w16cex:dateUtc="2022-08-25T13:29:00Z"/>
  <w16cex:commentExtensible w16cex:durableId="26B205DD" w16cex:dateUtc="2022-08-25T13:29:00Z"/>
  <w16cex:commentExtensible w16cex:durableId="26B205DE" w16cex:dateUtc="2022-08-25T13:29:00Z"/>
  <w16cex:commentExtensible w16cex:durableId="26B205DF" w16cex:dateUtc="2022-08-25T13:29:00Z"/>
  <w16cex:commentExtensible w16cex:durableId="26B205E0" w16cex:dateUtc="2022-08-25T13:29:00Z"/>
  <w16cex:commentExtensible w16cex:durableId="26B205E1" w16cex:dateUtc="2022-08-25T13:29:00Z"/>
  <w16cex:commentExtensible w16cex:durableId="26B205E2" w16cex:dateUtc="2022-08-25T13:29:00Z"/>
  <w16cex:commentExtensible w16cex:durableId="26B205E3" w16cex:dateUtc="2022-08-25T13:29:00Z"/>
  <w16cex:commentExtensible w16cex:durableId="26B205E4" w16cex:dateUtc="2022-08-25T13:29:00Z"/>
  <w16cex:commentExtensible w16cex:durableId="26B205E5" w16cex:dateUtc="2022-08-25T13:29:00Z"/>
  <w16cex:commentExtensible w16cex:durableId="26B205E6" w16cex:dateUtc="2022-08-25T13:29:00Z"/>
  <w16cex:commentExtensible w16cex:durableId="26B205E7" w16cex:dateUtc="2022-08-25T13:29:00Z"/>
  <w16cex:commentExtensible w16cex:durableId="26B205E8" w16cex:dateUtc="2022-08-25T13:29:00Z"/>
  <w16cex:commentExtensible w16cex:durableId="26B205E9" w16cex:dateUtc="2022-08-25T13:30:00Z"/>
  <w16cex:commentExtensible w16cex:durableId="26B205EA" w16cex:dateUtc="2022-08-25T13:30:00Z"/>
  <w16cex:commentExtensible w16cex:durableId="26B205EB" w16cex:dateUtc="2022-08-25T13:30:00Z"/>
  <w16cex:commentExtensible w16cex:durableId="26B205EC" w16cex:dateUtc="2022-08-25T13:30:00Z"/>
  <w16cex:commentExtensible w16cex:durableId="26B205ED" w16cex:dateUtc="2022-08-25T13:30:00Z"/>
  <w16cex:commentExtensible w16cex:durableId="26B205EE" w16cex:dateUtc="2022-08-25T13:30:00Z"/>
  <w16cex:commentExtensible w16cex:durableId="26B205EF" w16cex:dateUtc="2022-08-25T13:30:00Z"/>
  <w16cex:commentExtensible w16cex:durableId="26B205F0" w16cex:dateUtc="2022-08-25T13:30:00Z"/>
  <w16cex:commentExtensible w16cex:durableId="26B205F1" w16cex:dateUtc="2022-08-25T13:30:00Z"/>
  <w16cex:commentExtensible w16cex:durableId="26B205F8" w16cex:dateUtc="2022-08-25T13:30:00Z"/>
  <w16cex:commentExtensible w16cex:durableId="26B205F9" w16cex:dateUtc="2022-08-25T13:30:00Z"/>
  <w16cex:commentExtensible w16cex:durableId="26B205FA" w16cex:dateUtc="2022-08-25T13:30:00Z"/>
  <w16cex:commentExtensible w16cex:durableId="26B205FB" w16cex:dateUtc="2022-08-25T13:30:00Z"/>
  <w16cex:commentExtensible w16cex:durableId="26B205FC" w16cex:dateUtc="2022-08-25T13:30:00Z"/>
  <w16cex:commentExtensible w16cex:durableId="26B205FD" w16cex:dateUtc="2022-08-25T13:30:00Z"/>
  <w16cex:commentExtensible w16cex:durableId="26B205FE" w16cex:dateUtc="2022-08-25T13:30:00Z"/>
  <w16cex:commentExtensible w16cex:durableId="26B205FF" w16cex:dateUtc="2022-08-25T13:30:00Z"/>
  <w16cex:commentExtensible w16cex:durableId="26B20600" w16cex:dateUtc="2022-08-25T13:30:00Z"/>
  <w16cex:commentExtensible w16cex:durableId="26B20601" w16cex:dateUtc="2022-08-25T13:30:00Z"/>
  <w16cex:commentExtensible w16cex:durableId="26B20602" w16cex:dateUtc="2022-08-25T13:30:00Z"/>
  <w16cex:commentExtensible w16cex:durableId="26B20603" w16cex:dateUtc="2022-08-25T13:30:00Z"/>
  <w16cex:commentExtensible w16cex:durableId="26B20604" w16cex:dateUtc="2022-08-25T13:30:00Z"/>
  <w16cex:commentExtensible w16cex:durableId="26B20605" w16cex:dateUtc="2022-08-25T13:30:00Z"/>
  <w16cex:commentExtensible w16cex:durableId="26B20606" w16cex:dateUtc="2022-08-25T13:30:00Z"/>
  <w16cex:commentExtensible w16cex:durableId="26B20607" w16cex:dateUtc="2022-08-25T13:30:00Z"/>
  <w16cex:commentExtensible w16cex:durableId="26B20608" w16cex:dateUtc="2022-08-25T13:30:00Z"/>
  <w16cex:commentExtensible w16cex:durableId="26B20609" w16cex:dateUtc="2022-08-25T13:30:00Z"/>
  <w16cex:commentExtensible w16cex:durableId="26B2060C" w16cex:dateUtc="2022-08-25T13:30:00Z"/>
  <w16cex:commentExtensible w16cex:durableId="26B2060D" w16cex:dateUtc="2022-08-25T13:30:00Z"/>
  <w16cex:commentExtensible w16cex:durableId="26B2060E" w16cex:dateUtc="2022-08-25T13:30:00Z"/>
  <w16cex:commentExtensible w16cex:durableId="26B2060F" w16cex:dateUtc="2022-08-25T13:30:00Z"/>
  <w16cex:commentExtensible w16cex:durableId="26B20610" w16cex:dateUtc="2022-08-25T13:30:00Z"/>
  <w16cex:commentExtensible w16cex:durableId="26B20611" w16cex:dateUtc="2022-08-25T13:30:00Z"/>
  <w16cex:commentExtensible w16cex:durableId="26B20612" w16cex:dateUtc="2022-08-25T13:30:00Z"/>
  <w16cex:commentExtensible w16cex:durableId="26B20613" w16cex:dateUtc="2022-08-25T13:30:00Z"/>
  <w16cex:commentExtensible w16cex:durableId="26B20614" w16cex:dateUtc="2022-08-25T13:30:00Z"/>
  <w16cex:commentExtensible w16cex:durableId="26B20615" w16cex:dateUtc="2022-08-25T13:30:00Z"/>
  <w16cex:commentExtensible w16cex:durableId="26B20616" w16cex:dateUtc="2022-08-25T13:30:00Z"/>
  <w16cex:commentExtensible w16cex:durableId="26B20617" w16cex:dateUtc="2022-08-25T13:30:00Z"/>
  <w16cex:commentExtensible w16cex:durableId="26B20618" w16cex:dateUtc="2022-08-25T13:30:00Z"/>
  <w16cex:commentExtensible w16cex:durableId="26B20619" w16cex:dateUtc="2022-08-25T13:30:00Z"/>
  <w16cex:commentExtensible w16cex:durableId="26B2061A" w16cex:dateUtc="2022-08-25T13:30:00Z"/>
  <w16cex:commentExtensible w16cex:durableId="26B2061B" w16cex:dateUtc="2022-08-25T13:30:00Z"/>
  <w16cex:commentExtensible w16cex:durableId="26B2061C" w16cex:dateUtc="2022-08-25T13:30:00Z"/>
  <w16cex:commentExtensible w16cex:durableId="26B2061D" w16cex:dateUtc="2022-08-25T13:30:00Z"/>
  <w16cex:commentExtensible w16cex:durableId="26B2061E" w16cex:dateUtc="2022-08-25T13:30:00Z"/>
  <w16cex:commentExtensible w16cex:durableId="26B2061F" w16cex:dateUtc="2022-08-25T13:30:00Z"/>
  <w16cex:commentExtensible w16cex:durableId="26B20620" w16cex:dateUtc="2022-08-25T13:30:00Z"/>
  <w16cex:commentExtensible w16cex:durableId="26B20621" w16cex:dateUtc="2022-08-25T13:30:00Z"/>
  <w16cex:commentExtensible w16cex:durableId="26B20622" w16cex:dateUtc="2022-08-25T13:30:00Z"/>
  <w16cex:commentExtensible w16cex:durableId="26B20623" w16cex:dateUtc="2022-08-25T13:30:00Z"/>
  <w16cex:commentExtensible w16cex:durableId="26B20624" w16cex:dateUtc="2022-08-25T13:31:00Z"/>
  <w16cex:commentExtensible w16cex:durableId="26B20625" w16cex:dateUtc="2022-08-25T13:31:00Z"/>
  <w16cex:commentExtensible w16cex:durableId="26B20626" w16cex:dateUtc="2022-08-25T13:31:00Z"/>
  <w16cex:commentExtensible w16cex:durableId="26B20627" w16cex:dateUtc="2022-08-25T13:31:00Z"/>
  <w16cex:commentExtensible w16cex:durableId="26B20628" w16cex:dateUtc="2022-08-25T13:31:00Z"/>
  <w16cex:commentExtensible w16cex:durableId="26B20629" w16cex:dateUtc="2022-08-25T13:31:00Z"/>
  <w16cex:commentExtensible w16cex:durableId="26B2062C" w16cex:dateUtc="2022-08-25T13:31:00Z"/>
  <w16cex:commentExtensible w16cex:durableId="26B2062D" w16cex:dateUtc="2022-08-25T13:31:00Z"/>
  <w16cex:commentExtensible w16cex:durableId="26B2062E" w16cex:dateUtc="2022-08-25T13:31:00Z"/>
  <w16cex:commentExtensible w16cex:durableId="26B20631" w16cex:dateUtc="2022-08-25T13:31:00Z"/>
  <w16cex:commentExtensible w16cex:durableId="26B20632" w16cex:dateUtc="2022-08-25T13:31:00Z"/>
  <w16cex:commentExtensible w16cex:durableId="26B20633" w16cex:dateUtc="2022-08-25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E5D6B5" w16cid:durableId="26B2059E"/>
  <w16cid:commentId w16cid:paraId="6E05D953" w16cid:durableId="26B2059F"/>
  <w16cid:commentId w16cid:paraId="7877DC02" w16cid:durableId="26B205A0"/>
  <w16cid:commentId w16cid:paraId="33DF9B52" w16cid:durableId="26B205A1"/>
  <w16cid:commentId w16cid:paraId="34DAB857" w16cid:durableId="26B205A2"/>
  <w16cid:commentId w16cid:paraId="29706336" w16cid:durableId="26B205A3"/>
  <w16cid:commentId w16cid:paraId="4D68C1BA" w16cid:durableId="26B205A4"/>
  <w16cid:commentId w16cid:paraId="1A83A0F6" w16cid:durableId="26B205A5"/>
  <w16cid:commentId w16cid:paraId="2874753B" w16cid:durableId="26B205A6"/>
  <w16cid:commentId w16cid:paraId="63CAA3C3" w16cid:durableId="26B205A7"/>
  <w16cid:commentId w16cid:paraId="6C56208C" w16cid:durableId="26B205A8"/>
  <w16cid:commentId w16cid:paraId="607CEDD7" w16cid:durableId="26B205A9"/>
  <w16cid:commentId w16cid:paraId="2EED25A3" w16cid:durableId="26B205AA"/>
  <w16cid:commentId w16cid:paraId="210ED649" w16cid:durableId="26B205AB"/>
  <w16cid:commentId w16cid:paraId="23119A2A" w16cid:durableId="26B205AC"/>
  <w16cid:commentId w16cid:paraId="0E8243A8" w16cid:durableId="26B205B1"/>
  <w16cid:commentId w16cid:paraId="6D160510" w16cid:durableId="26B205B2"/>
  <w16cid:commentId w16cid:paraId="75AA555A" w16cid:durableId="26B205B5"/>
  <w16cid:commentId w16cid:paraId="7013D3F3" w16cid:durableId="26B205B6"/>
  <w16cid:commentId w16cid:paraId="32095989" w16cid:durableId="26B205B7"/>
  <w16cid:commentId w16cid:paraId="41691F5F" w16cid:durableId="26B205B8"/>
  <w16cid:commentId w16cid:paraId="7F10A7FE" w16cid:durableId="26B205B9"/>
  <w16cid:commentId w16cid:paraId="7DBD2E36" w16cid:durableId="26B205BA"/>
  <w16cid:commentId w16cid:paraId="5A57F1A1" w16cid:durableId="26B205BB"/>
  <w16cid:commentId w16cid:paraId="3774F84D" w16cid:durableId="26B205BC"/>
  <w16cid:commentId w16cid:paraId="6B3543FD" w16cid:durableId="26B205BD"/>
  <w16cid:commentId w16cid:paraId="2FBF0148" w16cid:durableId="26B205BE"/>
  <w16cid:commentId w16cid:paraId="39B054F3" w16cid:durableId="26B205C2"/>
  <w16cid:commentId w16cid:paraId="128F263C" w16cid:durableId="26B205C3"/>
  <w16cid:commentId w16cid:paraId="060053D7" w16cid:durableId="26B205C4"/>
  <w16cid:commentId w16cid:paraId="280DA755" w16cid:durableId="26B205C5"/>
  <w16cid:commentId w16cid:paraId="07BB4843" w16cid:durableId="26B205C6"/>
  <w16cid:commentId w16cid:paraId="14DCF068" w16cid:durableId="26B205C7"/>
  <w16cid:commentId w16cid:paraId="69725D06" w16cid:durableId="26B205C8"/>
  <w16cid:commentId w16cid:paraId="386F75B6" w16cid:durableId="26B205C9"/>
  <w16cid:commentId w16cid:paraId="367BC77B" w16cid:durableId="26B205CA"/>
  <w16cid:commentId w16cid:paraId="5A6E831C" w16cid:durableId="26B205CB"/>
  <w16cid:commentId w16cid:paraId="2509D964" w16cid:durableId="26B205CC"/>
  <w16cid:commentId w16cid:paraId="07016309" w16cid:durableId="26B205CD"/>
  <w16cid:commentId w16cid:paraId="1695735F" w16cid:durableId="26B205CE"/>
  <w16cid:commentId w16cid:paraId="3980E258" w16cid:durableId="26B205CF"/>
  <w16cid:commentId w16cid:paraId="23BE4117" w16cid:durableId="26B205D0"/>
  <w16cid:commentId w16cid:paraId="6005391C" w16cid:durableId="26B205D1"/>
  <w16cid:commentId w16cid:paraId="5E15DE6C" w16cid:durableId="26B205D2"/>
  <w16cid:commentId w16cid:paraId="0141D5FB" w16cid:durableId="26B205D3"/>
  <w16cid:commentId w16cid:paraId="421068B7" w16cid:durableId="26B205D4"/>
  <w16cid:commentId w16cid:paraId="7A53BB91" w16cid:durableId="26B205D5"/>
  <w16cid:commentId w16cid:paraId="6BC0A8F0" w16cid:durableId="26B205D6"/>
  <w16cid:commentId w16cid:paraId="3DBD8A17" w16cid:durableId="26B205D7"/>
  <w16cid:commentId w16cid:paraId="6626915C" w16cid:durableId="26B205D8"/>
  <w16cid:commentId w16cid:paraId="412FDF0B" w16cid:durableId="26B205D9"/>
  <w16cid:commentId w16cid:paraId="4E5D8E8C" w16cid:durableId="26B205DA"/>
  <w16cid:commentId w16cid:paraId="6CE7615A" w16cid:durableId="26B205DB"/>
  <w16cid:commentId w16cid:paraId="6C5643BA" w16cid:durableId="26B205DC"/>
  <w16cid:commentId w16cid:paraId="677882DE" w16cid:durableId="26B205DD"/>
  <w16cid:commentId w16cid:paraId="0618CDB8" w16cid:durableId="26B205DE"/>
  <w16cid:commentId w16cid:paraId="4681E5B8" w16cid:durableId="26B205DF"/>
  <w16cid:commentId w16cid:paraId="4D5AD58F" w16cid:durableId="26B205E0"/>
  <w16cid:commentId w16cid:paraId="0C1244F0" w16cid:durableId="26B205E1"/>
  <w16cid:commentId w16cid:paraId="24CBC298" w16cid:durableId="26B205E2"/>
  <w16cid:commentId w16cid:paraId="263F1575" w16cid:durableId="26B205E3"/>
  <w16cid:commentId w16cid:paraId="61D6D7C7" w16cid:durableId="26B205E4"/>
  <w16cid:commentId w16cid:paraId="40EFD6BA" w16cid:durableId="26B205E5"/>
  <w16cid:commentId w16cid:paraId="3CE863A0" w16cid:durableId="26B205E6"/>
  <w16cid:commentId w16cid:paraId="75BB7C0B" w16cid:durableId="26B205E7"/>
  <w16cid:commentId w16cid:paraId="4E80AEE7" w16cid:durableId="26B205E8"/>
  <w16cid:commentId w16cid:paraId="43484854" w16cid:durableId="26B205E9"/>
  <w16cid:commentId w16cid:paraId="2D6139DA" w16cid:durableId="26B205EA"/>
  <w16cid:commentId w16cid:paraId="5338E261" w16cid:durableId="26B205EB"/>
  <w16cid:commentId w16cid:paraId="4401D4BD" w16cid:durableId="26B205EC"/>
  <w16cid:commentId w16cid:paraId="6AF6B311" w16cid:durableId="26B205ED"/>
  <w16cid:commentId w16cid:paraId="116EF6E2" w16cid:durableId="26B205EE"/>
  <w16cid:commentId w16cid:paraId="58EE088E" w16cid:durableId="26B205EF"/>
  <w16cid:commentId w16cid:paraId="7DE90EE0" w16cid:durableId="26B205F0"/>
  <w16cid:commentId w16cid:paraId="2AD656D3" w16cid:durableId="26B205F1"/>
  <w16cid:commentId w16cid:paraId="453A1A8B" w16cid:durableId="26B205F8"/>
  <w16cid:commentId w16cid:paraId="3791A42A" w16cid:durableId="26B205F9"/>
  <w16cid:commentId w16cid:paraId="5E2D78B7" w16cid:durableId="26B205FA"/>
  <w16cid:commentId w16cid:paraId="2A035B5E" w16cid:durableId="26B205FB"/>
  <w16cid:commentId w16cid:paraId="3251BA85" w16cid:durableId="26B205FC"/>
  <w16cid:commentId w16cid:paraId="2FA144D1" w16cid:durableId="26B205FD"/>
  <w16cid:commentId w16cid:paraId="63654DA1" w16cid:durableId="26B205FE"/>
  <w16cid:commentId w16cid:paraId="348E402C" w16cid:durableId="26B205FF"/>
  <w16cid:commentId w16cid:paraId="4814B3A7" w16cid:durableId="26B20600"/>
  <w16cid:commentId w16cid:paraId="0437BC98" w16cid:durableId="26B20601"/>
  <w16cid:commentId w16cid:paraId="63F11A99" w16cid:durableId="26B20602"/>
  <w16cid:commentId w16cid:paraId="0769CD98" w16cid:durableId="26B20603"/>
  <w16cid:commentId w16cid:paraId="4243E8E6" w16cid:durableId="26B20604"/>
  <w16cid:commentId w16cid:paraId="2C661907" w16cid:durableId="26B20605"/>
  <w16cid:commentId w16cid:paraId="045B55FD" w16cid:durableId="26B20606"/>
  <w16cid:commentId w16cid:paraId="0B851F34" w16cid:durableId="26B20607"/>
  <w16cid:commentId w16cid:paraId="753E779B" w16cid:durableId="26B20608"/>
  <w16cid:commentId w16cid:paraId="0E2D361A" w16cid:durableId="26B20609"/>
  <w16cid:commentId w16cid:paraId="07E48E0E" w16cid:durableId="26B2060C"/>
  <w16cid:commentId w16cid:paraId="12FC91B6" w16cid:durableId="26B2060D"/>
  <w16cid:commentId w16cid:paraId="17A85CF9" w16cid:durableId="26B2060E"/>
  <w16cid:commentId w16cid:paraId="4950145A" w16cid:durableId="26B2060F"/>
  <w16cid:commentId w16cid:paraId="3B8ECDB3" w16cid:durableId="26B20610"/>
  <w16cid:commentId w16cid:paraId="61F9F11D" w16cid:durableId="26B20611"/>
  <w16cid:commentId w16cid:paraId="0DAD9F23" w16cid:durableId="26B20612"/>
  <w16cid:commentId w16cid:paraId="5626BD5B" w16cid:durableId="26B20613"/>
  <w16cid:commentId w16cid:paraId="41FC7564" w16cid:durableId="26B20614"/>
  <w16cid:commentId w16cid:paraId="00454A9C" w16cid:durableId="26B20615"/>
  <w16cid:commentId w16cid:paraId="4BF12D3D" w16cid:durableId="26B20616"/>
  <w16cid:commentId w16cid:paraId="26512D8B" w16cid:durableId="26B20617"/>
  <w16cid:commentId w16cid:paraId="028D34E5" w16cid:durableId="26B20618"/>
  <w16cid:commentId w16cid:paraId="4BB1FE18" w16cid:durableId="26B20619"/>
  <w16cid:commentId w16cid:paraId="416DFEEE" w16cid:durableId="26B2061A"/>
  <w16cid:commentId w16cid:paraId="63336B42" w16cid:durableId="26B2061B"/>
  <w16cid:commentId w16cid:paraId="78025C4F" w16cid:durableId="26B2061C"/>
  <w16cid:commentId w16cid:paraId="2DD50C5E" w16cid:durableId="26B2061D"/>
  <w16cid:commentId w16cid:paraId="184E457B" w16cid:durableId="26B2061E"/>
  <w16cid:commentId w16cid:paraId="4E5B3E86" w16cid:durableId="26B2061F"/>
  <w16cid:commentId w16cid:paraId="02CF32AD" w16cid:durableId="26B20620"/>
  <w16cid:commentId w16cid:paraId="5BCC8F4D" w16cid:durableId="26B20621"/>
  <w16cid:commentId w16cid:paraId="16F89ED3" w16cid:durableId="26B20622"/>
  <w16cid:commentId w16cid:paraId="57C7934D" w16cid:durableId="26B20623"/>
  <w16cid:commentId w16cid:paraId="1B661460" w16cid:durableId="26B20624"/>
  <w16cid:commentId w16cid:paraId="2840E91A" w16cid:durableId="26B20625"/>
  <w16cid:commentId w16cid:paraId="78704489" w16cid:durableId="26B20626"/>
  <w16cid:commentId w16cid:paraId="2D98E543" w16cid:durableId="26B20627"/>
  <w16cid:commentId w16cid:paraId="5AE97CCB" w16cid:durableId="26B20628"/>
  <w16cid:commentId w16cid:paraId="62202783" w16cid:durableId="26B20629"/>
  <w16cid:commentId w16cid:paraId="6D18E176" w16cid:durableId="26B2062C"/>
  <w16cid:commentId w16cid:paraId="77023D7A" w16cid:durableId="26B2062D"/>
  <w16cid:commentId w16cid:paraId="4821CC7C" w16cid:durableId="26B2062E"/>
  <w16cid:commentId w16cid:paraId="4210E938" w16cid:durableId="26B20631"/>
  <w16cid:commentId w16cid:paraId="2DE22A20" w16cid:durableId="26B20632"/>
  <w16cid:commentId w16cid:paraId="529F10C7" w16cid:durableId="26B2063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B4E01" w14:textId="77777777" w:rsidR="008E4A99" w:rsidRDefault="008E4A99" w:rsidP="00EE3113">
      <w:pPr>
        <w:spacing w:after="0" w:line="240" w:lineRule="auto"/>
      </w:pPr>
      <w:r>
        <w:separator/>
      </w:r>
    </w:p>
  </w:endnote>
  <w:endnote w:type="continuationSeparator" w:id="0">
    <w:p w14:paraId="36A14129" w14:textId="77777777" w:rsidR="008E4A99" w:rsidRDefault="008E4A99" w:rsidP="00EE3113">
      <w:pPr>
        <w:spacing w:after="0" w:line="240" w:lineRule="auto"/>
      </w:pPr>
      <w:r>
        <w:continuationSeparator/>
      </w:r>
    </w:p>
  </w:endnote>
  <w:endnote w:type="continuationNotice" w:id="1">
    <w:p w14:paraId="304B9047" w14:textId="77777777" w:rsidR="008E4A99" w:rsidRDefault="008E4A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quot;Times New Roman&quot;,serif">
    <w:panose1 w:val="020B0604020202020204"/>
    <w:charset w:val="00"/>
    <w:family w:val="roman"/>
    <w:pitch w:val="default"/>
  </w:font>
  <w:font w:name="Arial-BoldMT">
    <w:altName w:val="Arial"/>
    <w:panose1 w:val="020B0604020202020204"/>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Humanist777BT-LightB">
    <w:altName w:val="Humnst777 Lt BT"/>
    <w:panose1 w:val="020B0604020202020204"/>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1AE3C" w14:textId="77777777" w:rsidR="00CE2C4D" w:rsidRDefault="00CE2C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63CDC" w14:textId="0A125337" w:rsidR="00162218" w:rsidRDefault="050700A0" w:rsidP="00983D3D">
    <w:pPr>
      <w:pStyle w:val="Footer"/>
      <w:jc w:val="center"/>
    </w:pPr>
    <w:r>
      <w:fldChar w:fldCharType="begin"/>
    </w:r>
    <w:r>
      <w:instrText>PAGE</w:instrText>
    </w:r>
    <w:r>
      <w:fldChar w:fldCharType="separate"/>
    </w:r>
    <w:r w:rsidR="00F85BA3">
      <w:rPr>
        <w:noProof/>
      </w:rPr>
      <w:t>158</w:t>
    </w:r>
    <w:r>
      <w:fldChar w:fldCharType="end"/>
    </w:r>
  </w:p>
  <w:p w14:paraId="433DDF0E" w14:textId="77777777" w:rsidR="00CE2C4D" w:rsidRDefault="00CE2C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676F1" w14:textId="77777777" w:rsidR="00CE2C4D" w:rsidRDefault="00CE2C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B318C" w14:textId="77777777" w:rsidR="008E4A99" w:rsidRDefault="008E4A99" w:rsidP="00EE3113">
      <w:pPr>
        <w:spacing w:after="0" w:line="240" w:lineRule="auto"/>
      </w:pPr>
      <w:r>
        <w:separator/>
      </w:r>
    </w:p>
  </w:footnote>
  <w:footnote w:type="continuationSeparator" w:id="0">
    <w:p w14:paraId="6C6C6A2D" w14:textId="77777777" w:rsidR="008E4A99" w:rsidRDefault="008E4A99" w:rsidP="00EE3113">
      <w:pPr>
        <w:spacing w:after="0" w:line="240" w:lineRule="auto"/>
      </w:pPr>
      <w:r>
        <w:continuationSeparator/>
      </w:r>
    </w:p>
  </w:footnote>
  <w:footnote w:type="continuationNotice" w:id="1">
    <w:p w14:paraId="1EA72CA2" w14:textId="77777777" w:rsidR="008E4A99" w:rsidRDefault="008E4A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29031" w14:textId="77777777" w:rsidR="00CE2C4D" w:rsidRDefault="00CE2C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738D4" w14:textId="77777777" w:rsidR="00CE2C4D" w:rsidRDefault="00CE2C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7FEB8" w14:textId="77777777" w:rsidR="00CE2C4D" w:rsidRDefault="00CE2C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B25F7E"/>
    <w:multiLevelType w:val="hybridMultilevel"/>
    <w:tmpl w:val="C4907356"/>
    <w:lvl w:ilvl="0" w:tplc="A880C2CC">
      <w:numFmt w:val="bullet"/>
      <w:lvlText w:val="-"/>
      <w:lvlJc w:val="left"/>
      <w:pPr>
        <w:ind w:left="717" w:hanging="360"/>
      </w:pPr>
      <w:rPr>
        <w:rFonts w:ascii="Times New Roman" w:eastAsiaTheme="minorHAnsi" w:hAnsi="Times New Roman" w:cs="Times New Roman"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 w15:restartNumberingAfterBreak="0">
    <w:nsid w:val="0128006B"/>
    <w:multiLevelType w:val="hybridMultilevel"/>
    <w:tmpl w:val="49CA4E2E"/>
    <w:lvl w:ilvl="0" w:tplc="D1A2ADC4">
      <w:start w:val="1"/>
      <w:numFmt w:val="bullet"/>
      <w:lvlText w:val="·"/>
      <w:lvlJc w:val="left"/>
      <w:pPr>
        <w:ind w:left="720" w:hanging="360"/>
      </w:pPr>
      <w:rPr>
        <w:rFonts w:ascii="Symbol" w:hAnsi="Symbol" w:hint="default"/>
      </w:rPr>
    </w:lvl>
    <w:lvl w:ilvl="1" w:tplc="C5BEC210">
      <w:start w:val="1"/>
      <w:numFmt w:val="bullet"/>
      <w:lvlText w:val="o"/>
      <w:lvlJc w:val="left"/>
      <w:pPr>
        <w:ind w:left="1440" w:hanging="360"/>
      </w:pPr>
      <w:rPr>
        <w:rFonts w:ascii="Courier New" w:hAnsi="Courier New" w:hint="default"/>
      </w:rPr>
    </w:lvl>
    <w:lvl w:ilvl="2" w:tplc="8716B846">
      <w:start w:val="1"/>
      <w:numFmt w:val="bullet"/>
      <w:lvlText w:val=""/>
      <w:lvlJc w:val="left"/>
      <w:pPr>
        <w:ind w:left="2160" w:hanging="360"/>
      </w:pPr>
      <w:rPr>
        <w:rFonts w:ascii="Wingdings" w:hAnsi="Wingdings" w:hint="default"/>
      </w:rPr>
    </w:lvl>
    <w:lvl w:ilvl="3" w:tplc="C4EE9A76">
      <w:start w:val="1"/>
      <w:numFmt w:val="bullet"/>
      <w:lvlText w:val=""/>
      <w:lvlJc w:val="left"/>
      <w:pPr>
        <w:ind w:left="2880" w:hanging="360"/>
      </w:pPr>
      <w:rPr>
        <w:rFonts w:ascii="Symbol" w:hAnsi="Symbol" w:hint="default"/>
      </w:rPr>
    </w:lvl>
    <w:lvl w:ilvl="4" w:tplc="3D9E6A16">
      <w:start w:val="1"/>
      <w:numFmt w:val="bullet"/>
      <w:lvlText w:val="o"/>
      <w:lvlJc w:val="left"/>
      <w:pPr>
        <w:ind w:left="3600" w:hanging="360"/>
      </w:pPr>
      <w:rPr>
        <w:rFonts w:ascii="Courier New" w:hAnsi="Courier New" w:hint="default"/>
      </w:rPr>
    </w:lvl>
    <w:lvl w:ilvl="5" w:tplc="531E0CE4">
      <w:start w:val="1"/>
      <w:numFmt w:val="bullet"/>
      <w:lvlText w:val=""/>
      <w:lvlJc w:val="left"/>
      <w:pPr>
        <w:ind w:left="4320" w:hanging="360"/>
      </w:pPr>
      <w:rPr>
        <w:rFonts w:ascii="Wingdings" w:hAnsi="Wingdings" w:hint="default"/>
      </w:rPr>
    </w:lvl>
    <w:lvl w:ilvl="6" w:tplc="CBEA65C6">
      <w:start w:val="1"/>
      <w:numFmt w:val="bullet"/>
      <w:lvlText w:val=""/>
      <w:lvlJc w:val="left"/>
      <w:pPr>
        <w:ind w:left="5040" w:hanging="360"/>
      </w:pPr>
      <w:rPr>
        <w:rFonts w:ascii="Symbol" w:hAnsi="Symbol" w:hint="default"/>
      </w:rPr>
    </w:lvl>
    <w:lvl w:ilvl="7" w:tplc="D64A6DBA">
      <w:start w:val="1"/>
      <w:numFmt w:val="bullet"/>
      <w:lvlText w:val="o"/>
      <w:lvlJc w:val="left"/>
      <w:pPr>
        <w:ind w:left="5760" w:hanging="360"/>
      </w:pPr>
      <w:rPr>
        <w:rFonts w:ascii="Courier New" w:hAnsi="Courier New" w:hint="default"/>
      </w:rPr>
    </w:lvl>
    <w:lvl w:ilvl="8" w:tplc="F57678F0">
      <w:start w:val="1"/>
      <w:numFmt w:val="bullet"/>
      <w:lvlText w:val=""/>
      <w:lvlJc w:val="left"/>
      <w:pPr>
        <w:ind w:left="6480" w:hanging="360"/>
      </w:pPr>
      <w:rPr>
        <w:rFonts w:ascii="Wingdings" w:hAnsi="Wingdings" w:hint="default"/>
      </w:rPr>
    </w:lvl>
  </w:abstractNum>
  <w:abstractNum w:abstractNumId="3" w15:restartNumberingAfterBreak="0">
    <w:nsid w:val="023137D5"/>
    <w:multiLevelType w:val="hybridMultilevel"/>
    <w:tmpl w:val="FFFFFFFF"/>
    <w:lvl w:ilvl="0" w:tplc="FFFFFFFF">
      <w:start w:val="1"/>
      <w:numFmt w:val="decimal"/>
      <w:lvlText w:val="%1."/>
      <w:lvlJc w:val="left"/>
      <w:pPr>
        <w:ind w:left="720" w:hanging="360"/>
      </w:pPr>
    </w:lvl>
    <w:lvl w:ilvl="1" w:tplc="84FC281A">
      <w:start w:val="1"/>
      <w:numFmt w:val="lowerLetter"/>
      <w:lvlText w:val="%2."/>
      <w:lvlJc w:val="left"/>
      <w:pPr>
        <w:ind w:left="1440" w:hanging="360"/>
      </w:pPr>
    </w:lvl>
    <w:lvl w:ilvl="2" w:tplc="E25ED3C4">
      <w:start w:val="1"/>
      <w:numFmt w:val="lowerRoman"/>
      <w:lvlText w:val="%3."/>
      <w:lvlJc w:val="right"/>
      <w:pPr>
        <w:ind w:left="2160" w:hanging="180"/>
      </w:pPr>
    </w:lvl>
    <w:lvl w:ilvl="3" w:tplc="BC7A4554">
      <w:start w:val="1"/>
      <w:numFmt w:val="decimal"/>
      <w:lvlText w:val="%4."/>
      <w:lvlJc w:val="left"/>
      <w:pPr>
        <w:ind w:left="2880" w:hanging="360"/>
      </w:pPr>
    </w:lvl>
    <w:lvl w:ilvl="4" w:tplc="37483D6C">
      <w:start w:val="1"/>
      <w:numFmt w:val="lowerLetter"/>
      <w:lvlText w:val="%5."/>
      <w:lvlJc w:val="left"/>
      <w:pPr>
        <w:ind w:left="3600" w:hanging="360"/>
      </w:pPr>
    </w:lvl>
    <w:lvl w:ilvl="5" w:tplc="BE5EC1B6">
      <w:start w:val="1"/>
      <w:numFmt w:val="lowerRoman"/>
      <w:lvlText w:val="%6."/>
      <w:lvlJc w:val="right"/>
      <w:pPr>
        <w:ind w:left="4320" w:hanging="180"/>
      </w:pPr>
    </w:lvl>
    <w:lvl w:ilvl="6" w:tplc="F43684AE">
      <w:start w:val="1"/>
      <w:numFmt w:val="decimal"/>
      <w:lvlText w:val="%7."/>
      <w:lvlJc w:val="left"/>
      <w:pPr>
        <w:ind w:left="5040" w:hanging="360"/>
      </w:pPr>
    </w:lvl>
    <w:lvl w:ilvl="7" w:tplc="818A2186">
      <w:start w:val="1"/>
      <w:numFmt w:val="lowerLetter"/>
      <w:lvlText w:val="%8."/>
      <w:lvlJc w:val="left"/>
      <w:pPr>
        <w:ind w:left="5760" w:hanging="360"/>
      </w:pPr>
    </w:lvl>
    <w:lvl w:ilvl="8" w:tplc="61126138">
      <w:start w:val="1"/>
      <w:numFmt w:val="lowerRoman"/>
      <w:lvlText w:val="%9."/>
      <w:lvlJc w:val="right"/>
      <w:pPr>
        <w:ind w:left="6480" w:hanging="180"/>
      </w:pPr>
    </w:lvl>
  </w:abstractNum>
  <w:abstractNum w:abstractNumId="4" w15:restartNumberingAfterBreak="0">
    <w:nsid w:val="02900EFE"/>
    <w:multiLevelType w:val="hybridMultilevel"/>
    <w:tmpl w:val="D81EB742"/>
    <w:lvl w:ilvl="0" w:tplc="DFD0CE90">
      <w:start w:val="1"/>
      <w:numFmt w:val="decimal"/>
      <w:lvlText w:val="%1."/>
      <w:lvlJc w:val="left"/>
      <w:pPr>
        <w:ind w:left="2628"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D3012D"/>
    <w:multiLevelType w:val="hybridMultilevel"/>
    <w:tmpl w:val="8CAE6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31F6641"/>
    <w:multiLevelType w:val="hybridMultilevel"/>
    <w:tmpl w:val="188ACB5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8055CC3"/>
    <w:multiLevelType w:val="hybridMultilevel"/>
    <w:tmpl w:val="E1E823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FF12A2"/>
    <w:multiLevelType w:val="hybridMultilevel"/>
    <w:tmpl w:val="E25441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DDB3D8C"/>
    <w:multiLevelType w:val="hybridMultilevel"/>
    <w:tmpl w:val="B0EAA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AE10D4"/>
    <w:multiLevelType w:val="hybridMultilevel"/>
    <w:tmpl w:val="7E26FC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034DBE"/>
    <w:multiLevelType w:val="hybridMultilevel"/>
    <w:tmpl w:val="7A3A6970"/>
    <w:lvl w:ilvl="0" w:tplc="6F7A24BE">
      <w:start w:val="1"/>
      <w:numFmt w:val="bullet"/>
      <w:lvlText w:val="-"/>
      <w:lvlJc w:val="left"/>
      <w:pPr>
        <w:ind w:left="720" w:hanging="360"/>
      </w:pPr>
      <w:rPr>
        <w:rFonts w:ascii="&quot;Times New Roman&quot;,serif" w:hAnsi="&quot;Times New Roman&quot;,serif" w:hint="default"/>
      </w:rPr>
    </w:lvl>
    <w:lvl w:ilvl="1" w:tplc="002E4AB4">
      <w:start w:val="1"/>
      <w:numFmt w:val="bullet"/>
      <w:lvlText w:val="o"/>
      <w:lvlJc w:val="left"/>
      <w:pPr>
        <w:ind w:left="1440" w:hanging="360"/>
      </w:pPr>
      <w:rPr>
        <w:rFonts w:ascii="Courier New" w:hAnsi="Courier New" w:hint="default"/>
      </w:rPr>
    </w:lvl>
    <w:lvl w:ilvl="2" w:tplc="68563C18">
      <w:start w:val="1"/>
      <w:numFmt w:val="bullet"/>
      <w:lvlText w:val=""/>
      <w:lvlJc w:val="left"/>
      <w:pPr>
        <w:ind w:left="2160" w:hanging="360"/>
      </w:pPr>
      <w:rPr>
        <w:rFonts w:ascii="Wingdings" w:hAnsi="Wingdings" w:hint="default"/>
      </w:rPr>
    </w:lvl>
    <w:lvl w:ilvl="3" w:tplc="BE28B01A">
      <w:start w:val="1"/>
      <w:numFmt w:val="bullet"/>
      <w:lvlText w:val=""/>
      <w:lvlJc w:val="left"/>
      <w:pPr>
        <w:ind w:left="2880" w:hanging="360"/>
      </w:pPr>
      <w:rPr>
        <w:rFonts w:ascii="Symbol" w:hAnsi="Symbol" w:hint="default"/>
      </w:rPr>
    </w:lvl>
    <w:lvl w:ilvl="4" w:tplc="6EC62026">
      <w:start w:val="1"/>
      <w:numFmt w:val="bullet"/>
      <w:lvlText w:val="o"/>
      <w:lvlJc w:val="left"/>
      <w:pPr>
        <w:ind w:left="3600" w:hanging="360"/>
      </w:pPr>
      <w:rPr>
        <w:rFonts w:ascii="Courier New" w:hAnsi="Courier New" w:hint="default"/>
      </w:rPr>
    </w:lvl>
    <w:lvl w:ilvl="5" w:tplc="CAF46766">
      <w:start w:val="1"/>
      <w:numFmt w:val="bullet"/>
      <w:lvlText w:val=""/>
      <w:lvlJc w:val="left"/>
      <w:pPr>
        <w:ind w:left="4320" w:hanging="360"/>
      </w:pPr>
      <w:rPr>
        <w:rFonts w:ascii="Wingdings" w:hAnsi="Wingdings" w:hint="default"/>
      </w:rPr>
    </w:lvl>
    <w:lvl w:ilvl="6" w:tplc="4718F32A">
      <w:start w:val="1"/>
      <w:numFmt w:val="bullet"/>
      <w:lvlText w:val=""/>
      <w:lvlJc w:val="left"/>
      <w:pPr>
        <w:ind w:left="5040" w:hanging="360"/>
      </w:pPr>
      <w:rPr>
        <w:rFonts w:ascii="Symbol" w:hAnsi="Symbol" w:hint="default"/>
      </w:rPr>
    </w:lvl>
    <w:lvl w:ilvl="7" w:tplc="34BC71EE">
      <w:start w:val="1"/>
      <w:numFmt w:val="bullet"/>
      <w:lvlText w:val="o"/>
      <w:lvlJc w:val="left"/>
      <w:pPr>
        <w:ind w:left="5760" w:hanging="360"/>
      </w:pPr>
      <w:rPr>
        <w:rFonts w:ascii="Courier New" w:hAnsi="Courier New" w:hint="default"/>
      </w:rPr>
    </w:lvl>
    <w:lvl w:ilvl="8" w:tplc="1DA6DBA4">
      <w:start w:val="1"/>
      <w:numFmt w:val="bullet"/>
      <w:lvlText w:val=""/>
      <w:lvlJc w:val="left"/>
      <w:pPr>
        <w:ind w:left="6480" w:hanging="360"/>
      </w:pPr>
      <w:rPr>
        <w:rFonts w:ascii="Wingdings" w:hAnsi="Wingdings" w:hint="default"/>
      </w:rPr>
    </w:lvl>
  </w:abstractNum>
  <w:abstractNum w:abstractNumId="12" w15:restartNumberingAfterBreak="0">
    <w:nsid w:val="1B8D3851"/>
    <w:multiLevelType w:val="hybridMultilevel"/>
    <w:tmpl w:val="8072F4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BA53547"/>
    <w:multiLevelType w:val="hybridMultilevel"/>
    <w:tmpl w:val="29D6672C"/>
    <w:lvl w:ilvl="0" w:tplc="9D44DF48">
      <w:start w:val="1"/>
      <w:numFmt w:val="decimal"/>
      <w:lvlText w:val="%1."/>
      <w:lvlJc w:val="left"/>
      <w:pPr>
        <w:ind w:left="720" w:hanging="360"/>
      </w:pPr>
    </w:lvl>
    <w:lvl w:ilvl="1" w:tplc="5CCC5A4C">
      <w:start w:val="1"/>
      <w:numFmt w:val="lowerLetter"/>
      <w:lvlText w:val="%2."/>
      <w:lvlJc w:val="left"/>
      <w:pPr>
        <w:ind w:left="1440" w:hanging="360"/>
      </w:pPr>
    </w:lvl>
    <w:lvl w:ilvl="2" w:tplc="6868B97A">
      <w:start w:val="1"/>
      <w:numFmt w:val="lowerRoman"/>
      <w:lvlText w:val="%3."/>
      <w:lvlJc w:val="right"/>
      <w:pPr>
        <w:ind w:left="2160" w:hanging="180"/>
      </w:pPr>
    </w:lvl>
    <w:lvl w:ilvl="3" w:tplc="2B329A88">
      <w:start w:val="1"/>
      <w:numFmt w:val="decimal"/>
      <w:lvlText w:val="%4."/>
      <w:lvlJc w:val="left"/>
      <w:pPr>
        <w:ind w:left="2880" w:hanging="360"/>
      </w:pPr>
    </w:lvl>
    <w:lvl w:ilvl="4" w:tplc="CE94C266">
      <w:start w:val="1"/>
      <w:numFmt w:val="lowerLetter"/>
      <w:lvlText w:val="%5."/>
      <w:lvlJc w:val="left"/>
      <w:pPr>
        <w:ind w:left="3600" w:hanging="360"/>
      </w:pPr>
    </w:lvl>
    <w:lvl w:ilvl="5" w:tplc="3D94B952">
      <w:start w:val="1"/>
      <w:numFmt w:val="lowerRoman"/>
      <w:lvlText w:val="%6."/>
      <w:lvlJc w:val="right"/>
      <w:pPr>
        <w:ind w:left="4320" w:hanging="180"/>
      </w:pPr>
    </w:lvl>
    <w:lvl w:ilvl="6" w:tplc="FF5C2AA2">
      <w:start w:val="1"/>
      <w:numFmt w:val="decimal"/>
      <w:lvlText w:val="%7."/>
      <w:lvlJc w:val="left"/>
      <w:pPr>
        <w:ind w:left="5040" w:hanging="360"/>
      </w:pPr>
    </w:lvl>
    <w:lvl w:ilvl="7" w:tplc="F79CC88A">
      <w:start w:val="1"/>
      <w:numFmt w:val="lowerLetter"/>
      <w:lvlText w:val="%8."/>
      <w:lvlJc w:val="left"/>
      <w:pPr>
        <w:ind w:left="5760" w:hanging="360"/>
      </w:pPr>
    </w:lvl>
    <w:lvl w:ilvl="8" w:tplc="DAB83F60">
      <w:start w:val="1"/>
      <w:numFmt w:val="lowerRoman"/>
      <w:lvlText w:val="%9."/>
      <w:lvlJc w:val="right"/>
      <w:pPr>
        <w:ind w:left="6480" w:hanging="180"/>
      </w:pPr>
    </w:lvl>
  </w:abstractNum>
  <w:abstractNum w:abstractNumId="14" w15:restartNumberingAfterBreak="0">
    <w:nsid w:val="1D5D1E92"/>
    <w:multiLevelType w:val="hybridMultilevel"/>
    <w:tmpl w:val="9CF4D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342293"/>
    <w:multiLevelType w:val="hybridMultilevel"/>
    <w:tmpl w:val="FFFFFFFF"/>
    <w:lvl w:ilvl="0" w:tplc="3814A228">
      <w:start w:val="1"/>
      <w:numFmt w:val="decimal"/>
      <w:lvlText w:val="%1."/>
      <w:lvlJc w:val="left"/>
      <w:pPr>
        <w:ind w:left="720" w:hanging="360"/>
      </w:pPr>
    </w:lvl>
    <w:lvl w:ilvl="1" w:tplc="817A8424">
      <w:start w:val="1"/>
      <w:numFmt w:val="lowerLetter"/>
      <w:lvlText w:val="%2."/>
      <w:lvlJc w:val="left"/>
      <w:pPr>
        <w:ind w:left="1440" w:hanging="360"/>
      </w:pPr>
    </w:lvl>
    <w:lvl w:ilvl="2" w:tplc="E0EE8E22">
      <w:start w:val="1"/>
      <w:numFmt w:val="lowerRoman"/>
      <w:lvlText w:val="%3."/>
      <w:lvlJc w:val="right"/>
      <w:pPr>
        <w:ind w:left="2160" w:hanging="180"/>
      </w:pPr>
    </w:lvl>
    <w:lvl w:ilvl="3" w:tplc="4866E6FA">
      <w:start w:val="1"/>
      <w:numFmt w:val="decimal"/>
      <w:lvlText w:val="%4."/>
      <w:lvlJc w:val="left"/>
      <w:pPr>
        <w:ind w:left="2880" w:hanging="360"/>
      </w:pPr>
    </w:lvl>
    <w:lvl w:ilvl="4" w:tplc="AF7474F0">
      <w:start w:val="1"/>
      <w:numFmt w:val="lowerLetter"/>
      <w:lvlText w:val="%5."/>
      <w:lvlJc w:val="left"/>
      <w:pPr>
        <w:ind w:left="3600" w:hanging="360"/>
      </w:pPr>
    </w:lvl>
    <w:lvl w:ilvl="5" w:tplc="8B8628D4">
      <w:start w:val="1"/>
      <w:numFmt w:val="lowerRoman"/>
      <w:lvlText w:val="%6."/>
      <w:lvlJc w:val="right"/>
      <w:pPr>
        <w:ind w:left="4320" w:hanging="180"/>
      </w:pPr>
    </w:lvl>
    <w:lvl w:ilvl="6" w:tplc="BF00D6FC">
      <w:start w:val="1"/>
      <w:numFmt w:val="decimal"/>
      <w:lvlText w:val="%7."/>
      <w:lvlJc w:val="left"/>
      <w:pPr>
        <w:ind w:left="5040" w:hanging="360"/>
      </w:pPr>
    </w:lvl>
    <w:lvl w:ilvl="7" w:tplc="0B64742E">
      <w:start w:val="1"/>
      <w:numFmt w:val="lowerLetter"/>
      <w:lvlText w:val="%8."/>
      <w:lvlJc w:val="left"/>
      <w:pPr>
        <w:ind w:left="5760" w:hanging="360"/>
      </w:pPr>
    </w:lvl>
    <w:lvl w:ilvl="8" w:tplc="686C8EFA">
      <w:start w:val="1"/>
      <w:numFmt w:val="lowerRoman"/>
      <w:lvlText w:val="%9."/>
      <w:lvlJc w:val="right"/>
      <w:pPr>
        <w:ind w:left="6480" w:hanging="180"/>
      </w:pPr>
    </w:lvl>
  </w:abstractNum>
  <w:abstractNum w:abstractNumId="16" w15:restartNumberingAfterBreak="0">
    <w:nsid w:val="20755253"/>
    <w:multiLevelType w:val="hybridMultilevel"/>
    <w:tmpl w:val="03203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EA2564"/>
    <w:multiLevelType w:val="hybridMultilevel"/>
    <w:tmpl w:val="3FE6A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DF4D31"/>
    <w:multiLevelType w:val="multilevel"/>
    <w:tmpl w:val="A93AA82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49220E3"/>
    <w:multiLevelType w:val="hybridMultilevel"/>
    <w:tmpl w:val="ADF06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F66F76"/>
    <w:multiLevelType w:val="hybridMultilevel"/>
    <w:tmpl w:val="B5C85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356ABE"/>
    <w:multiLevelType w:val="hybridMultilevel"/>
    <w:tmpl w:val="FF061CA0"/>
    <w:lvl w:ilvl="0" w:tplc="DFC89EC2">
      <w:numFmt w:val="bullet"/>
      <w:lvlText w:val="•"/>
      <w:lvlJc w:val="left"/>
      <w:pPr>
        <w:ind w:left="1080" w:hanging="720"/>
      </w:pPr>
      <w:rPr>
        <w:rFonts w:ascii="Calibri" w:eastAsiaTheme="minorHAnsi" w:hAnsi="Calibri" w:cs="Arial-BoldM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5560EB"/>
    <w:multiLevelType w:val="hybridMultilevel"/>
    <w:tmpl w:val="D47C38B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4A31070"/>
    <w:multiLevelType w:val="hybridMultilevel"/>
    <w:tmpl w:val="71681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3F7362"/>
    <w:multiLevelType w:val="hybridMultilevel"/>
    <w:tmpl w:val="863E8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CEC5D3D"/>
    <w:multiLevelType w:val="hybridMultilevel"/>
    <w:tmpl w:val="52F274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590581"/>
    <w:multiLevelType w:val="hybridMultilevel"/>
    <w:tmpl w:val="ADE84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09B3FE1"/>
    <w:multiLevelType w:val="hybridMultilevel"/>
    <w:tmpl w:val="DC5E977E"/>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791083"/>
    <w:multiLevelType w:val="hybridMultilevel"/>
    <w:tmpl w:val="324AB2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B5144D"/>
    <w:multiLevelType w:val="multilevel"/>
    <w:tmpl w:val="F7482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E2812C6"/>
    <w:multiLevelType w:val="hybridMultilevel"/>
    <w:tmpl w:val="EBD616C8"/>
    <w:lvl w:ilvl="0" w:tplc="63123286">
      <w:start w:val="1"/>
      <w:numFmt w:val="bullet"/>
      <w:lvlText w:val="·"/>
      <w:lvlJc w:val="left"/>
      <w:pPr>
        <w:ind w:left="720" w:hanging="360"/>
      </w:pPr>
      <w:rPr>
        <w:rFonts w:ascii="Symbol" w:hAnsi="Symbol" w:hint="default"/>
      </w:rPr>
    </w:lvl>
    <w:lvl w:ilvl="1" w:tplc="B8341D06">
      <w:start w:val="1"/>
      <w:numFmt w:val="bullet"/>
      <w:lvlText w:val="o"/>
      <w:lvlJc w:val="left"/>
      <w:pPr>
        <w:ind w:left="1440" w:hanging="360"/>
      </w:pPr>
      <w:rPr>
        <w:rFonts w:ascii="Courier New" w:hAnsi="Courier New" w:hint="default"/>
      </w:rPr>
    </w:lvl>
    <w:lvl w:ilvl="2" w:tplc="DE4458A6">
      <w:start w:val="1"/>
      <w:numFmt w:val="bullet"/>
      <w:lvlText w:val=""/>
      <w:lvlJc w:val="left"/>
      <w:pPr>
        <w:ind w:left="2160" w:hanging="360"/>
      </w:pPr>
      <w:rPr>
        <w:rFonts w:ascii="Wingdings" w:hAnsi="Wingdings" w:hint="default"/>
      </w:rPr>
    </w:lvl>
    <w:lvl w:ilvl="3" w:tplc="6E0E8834">
      <w:start w:val="1"/>
      <w:numFmt w:val="bullet"/>
      <w:lvlText w:val=""/>
      <w:lvlJc w:val="left"/>
      <w:pPr>
        <w:ind w:left="2880" w:hanging="360"/>
      </w:pPr>
      <w:rPr>
        <w:rFonts w:ascii="Symbol" w:hAnsi="Symbol" w:hint="default"/>
      </w:rPr>
    </w:lvl>
    <w:lvl w:ilvl="4" w:tplc="C8782694">
      <w:start w:val="1"/>
      <w:numFmt w:val="bullet"/>
      <w:lvlText w:val="o"/>
      <w:lvlJc w:val="left"/>
      <w:pPr>
        <w:ind w:left="3600" w:hanging="360"/>
      </w:pPr>
      <w:rPr>
        <w:rFonts w:ascii="Courier New" w:hAnsi="Courier New" w:hint="default"/>
      </w:rPr>
    </w:lvl>
    <w:lvl w:ilvl="5" w:tplc="6AFCB00A">
      <w:start w:val="1"/>
      <w:numFmt w:val="bullet"/>
      <w:lvlText w:val=""/>
      <w:lvlJc w:val="left"/>
      <w:pPr>
        <w:ind w:left="4320" w:hanging="360"/>
      </w:pPr>
      <w:rPr>
        <w:rFonts w:ascii="Wingdings" w:hAnsi="Wingdings" w:hint="default"/>
      </w:rPr>
    </w:lvl>
    <w:lvl w:ilvl="6" w:tplc="26CE210E">
      <w:start w:val="1"/>
      <w:numFmt w:val="bullet"/>
      <w:lvlText w:val=""/>
      <w:lvlJc w:val="left"/>
      <w:pPr>
        <w:ind w:left="5040" w:hanging="360"/>
      </w:pPr>
      <w:rPr>
        <w:rFonts w:ascii="Symbol" w:hAnsi="Symbol" w:hint="default"/>
      </w:rPr>
    </w:lvl>
    <w:lvl w:ilvl="7" w:tplc="89505610">
      <w:start w:val="1"/>
      <w:numFmt w:val="bullet"/>
      <w:lvlText w:val="o"/>
      <w:lvlJc w:val="left"/>
      <w:pPr>
        <w:ind w:left="5760" w:hanging="360"/>
      </w:pPr>
      <w:rPr>
        <w:rFonts w:ascii="Courier New" w:hAnsi="Courier New" w:hint="default"/>
      </w:rPr>
    </w:lvl>
    <w:lvl w:ilvl="8" w:tplc="184C7F7E">
      <w:start w:val="1"/>
      <w:numFmt w:val="bullet"/>
      <w:lvlText w:val=""/>
      <w:lvlJc w:val="left"/>
      <w:pPr>
        <w:ind w:left="6480" w:hanging="360"/>
      </w:pPr>
      <w:rPr>
        <w:rFonts w:ascii="Wingdings" w:hAnsi="Wingdings" w:hint="default"/>
      </w:rPr>
    </w:lvl>
  </w:abstractNum>
  <w:abstractNum w:abstractNumId="31" w15:restartNumberingAfterBreak="0">
    <w:nsid w:val="4FF12362"/>
    <w:multiLevelType w:val="hybridMultilevel"/>
    <w:tmpl w:val="1A4AEF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94416D"/>
    <w:multiLevelType w:val="hybridMultilevel"/>
    <w:tmpl w:val="7D6AAE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8A4560E"/>
    <w:multiLevelType w:val="hybridMultilevel"/>
    <w:tmpl w:val="185E21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CF56081"/>
    <w:multiLevelType w:val="hybridMultilevel"/>
    <w:tmpl w:val="F9E0A352"/>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6CF4264E"/>
    <w:multiLevelType w:val="hybridMultilevel"/>
    <w:tmpl w:val="8B4EC6B4"/>
    <w:lvl w:ilvl="0" w:tplc="660E80C4">
      <w:start w:val="1"/>
      <w:numFmt w:val="bullet"/>
      <w:lvlText w:val="·"/>
      <w:lvlJc w:val="left"/>
      <w:pPr>
        <w:ind w:left="720" w:hanging="360"/>
      </w:pPr>
      <w:rPr>
        <w:rFonts w:ascii="Symbol" w:hAnsi="Symbol" w:hint="default"/>
      </w:rPr>
    </w:lvl>
    <w:lvl w:ilvl="1" w:tplc="6366A038">
      <w:start w:val="1"/>
      <w:numFmt w:val="bullet"/>
      <w:lvlText w:val="o"/>
      <w:lvlJc w:val="left"/>
      <w:pPr>
        <w:ind w:left="1440" w:hanging="360"/>
      </w:pPr>
      <w:rPr>
        <w:rFonts w:ascii="Courier New" w:hAnsi="Courier New" w:hint="default"/>
      </w:rPr>
    </w:lvl>
    <w:lvl w:ilvl="2" w:tplc="36861D8C">
      <w:start w:val="1"/>
      <w:numFmt w:val="bullet"/>
      <w:lvlText w:val=""/>
      <w:lvlJc w:val="left"/>
      <w:pPr>
        <w:ind w:left="2160" w:hanging="360"/>
      </w:pPr>
      <w:rPr>
        <w:rFonts w:ascii="Wingdings" w:hAnsi="Wingdings" w:hint="default"/>
      </w:rPr>
    </w:lvl>
    <w:lvl w:ilvl="3" w:tplc="0068CE3C">
      <w:start w:val="1"/>
      <w:numFmt w:val="bullet"/>
      <w:lvlText w:val=""/>
      <w:lvlJc w:val="left"/>
      <w:pPr>
        <w:ind w:left="2880" w:hanging="360"/>
      </w:pPr>
      <w:rPr>
        <w:rFonts w:ascii="Symbol" w:hAnsi="Symbol" w:hint="default"/>
      </w:rPr>
    </w:lvl>
    <w:lvl w:ilvl="4" w:tplc="90EC3E0A">
      <w:start w:val="1"/>
      <w:numFmt w:val="bullet"/>
      <w:lvlText w:val="o"/>
      <w:lvlJc w:val="left"/>
      <w:pPr>
        <w:ind w:left="3600" w:hanging="360"/>
      </w:pPr>
      <w:rPr>
        <w:rFonts w:ascii="Courier New" w:hAnsi="Courier New" w:hint="default"/>
      </w:rPr>
    </w:lvl>
    <w:lvl w:ilvl="5" w:tplc="63124060">
      <w:start w:val="1"/>
      <w:numFmt w:val="bullet"/>
      <w:lvlText w:val=""/>
      <w:lvlJc w:val="left"/>
      <w:pPr>
        <w:ind w:left="4320" w:hanging="360"/>
      </w:pPr>
      <w:rPr>
        <w:rFonts w:ascii="Wingdings" w:hAnsi="Wingdings" w:hint="default"/>
      </w:rPr>
    </w:lvl>
    <w:lvl w:ilvl="6" w:tplc="298C6E48">
      <w:start w:val="1"/>
      <w:numFmt w:val="bullet"/>
      <w:lvlText w:val=""/>
      <w:lvlJc w:val="left"/>
      <w:pPr>
        <w:ind w:left="5040" w:hanging="360"/>
      </w:pPr>
      <w:rPr>
        <w:rFonts w:ascii="Symbol" w:hAnsi="Symbol" w:hint="default"/>
      </w:rPr>
    </w:lvl>
    <w:lvl w:ilvl="7" w:tplc="5144FF08">
      <w:start w:val="1"/>
      <w:numFmt w:val="bullet"/>
      <w:lvlText w:val="o"/>
      <w:lvlJc w:val="left"/>
      <w:pPr>
        <w:ind w:left="5760" w:hanging="360"/>
      </w:pPr>
      <w:rPr>
        <w:rFonts w:ascii="Courier New" w:hAnsi="Courier New" w:hint="default"/>
      </w:rPr>
    </w:lvl>
    <w:lvl w:ilvl="8" w:tplc="5A54CEB2">
      <w:start w:val="1"/>
      <w:numFmt w:val="bullet"/>
      <w:lvlText w:val=""/>
      <w:lvlJc w:val="left"/>
      <w:pPr>
        <w:ind w:left="6480" w:hanging="360"/>
      </w:pPr>
      <w:rPr>
        <w:rFonts w:ascii="Wingdings" w:hAnsi="Wingdings" w:hint="default"/>
      </w:rPr>
    </w:lvl>
  </w:abstractNum>
  <w:abstractNum w:abstractNumId="36" w15:restartNumberingAfterBreak="0">
    <w:nsid w:val="6F5C72D7"/>
    <w:multiLevelType w:val="hybridMultilevel"/>
    <w:tmpl w:val="C23A9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065BDD"/>
    <w:multiLevelType w:val="hybridMultilevel"/>
    <w:tmpl w:val="F49A7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E53575"/>
    <w:multiLevelType w:val="hybridMultilevel"/>
    <w:tmpl w:val="32D0B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E17DB5"/>
    <w:multiLevelType w:val="hybridMultilevel"/>
    <w:tmpl w:val="E69A5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800" w:hanging="72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253C3A"/>
    <w:multiLevelType w:val="hybridMultilevel"/>
    <w:tmpl w:val="9E1638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5247CC"/>
    <w:multiLevelType w:val="hybridMultilevel"/>
    <w:tmpl w:val="506CCD24"/>
    <w:lvl w:ilvl="0" w:tplc="08090011">
      <w:start w:val="1"/>
      <w:numFmt w:val="decimal"/>
      <w:lvlText w:val="%1)"/>
      <w:lvlJc w:val="left"/>
      <w:pPr>
        <w:ind w:left="0" w:hanging="360"/>
      </w:pPr>
      <w:rPr>
        <w:rFonts w:hint="default"/>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42" w15:restartNumberingAfterBreak="0">
    <w:nsid w:val="7C947ADF"/>
    <w:multiLevelType w:val="hybridMultilevel"/>
    <w:tmpl w:val="2DF8F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5156288">
    <w:abstractNumId w:val="15"/>
  </w:num>
  <w:num w:numId="2" w16cid:durableId="1616674189">
    <w:abstractNumId w:val="29"/>
  </w:num>
  <w:num w:numId="3" w16cid:durableId="936447325">
    <w:abstractNumId w:val="18"/>
  </w:num>
  <w:num w:numId="4" w16cid:durableId="1312562490">
    <w:abstractNumId w:val="9"/>
  </w:num>
  <w:num w:numId="5" w16cid:durableId="1720083123">
    <w:abstractNumId w:val="39"/>
  </w:num>
  <w:num w:numId="6" w16cid:durableId="2007707508">
    <w:abstractNumId w:val="22"/>
  </w:num>
  <w:num w:numId="7" w16cid:durableId="135490136">
    <w:abstractNumId w:val="34"/>
  </w:num>
  <w:num w:numId="8" w16cid:durableId="500508658">
    <w:abstractNumId w:val="27"/>
  </w:num>
  <w:num w:numId="9" w16cid:durableId="588928744">
    <w:abstractNumId w:val="20"/>
  </w:num>
  <w:num w:numId="10" w16cid:durableId="273710193">
    <w:abstractNumId w:val="3"/>
  </w:num>
  <w:num w:numId="11" w16cid:durableId="1470518993">
    <w:abstractNumId w:val="13"/>
  </w:num>
  <w:num w:numId="12" w16cid:durableId="1001784670">
    <w:abstractNumId w:val="35"/>
  </w:num>
  <w:num w:numId="13" w16cid:durableId="1027559434">
    <w:abstractNumId w:val="2"/>
  </w:num>
  <w:num w:numId="14" w16cid:durableId="1506870064">
    <w:abstractNumId w:val="11"/>
  </w:num>
  <w:num w:numId="15" w16cid:durableId="656374880">
    <w:abstractNumId w:val="30"/>
  </w:num>
  <w:num w:numId="16" w16cid:durableId="504169373">
    <w:abstractNumId w:val="26"/>
  </w:num>
  <w:num w:numId="17" w16cid:durableId="1588465653">
    <w:abstractNumId w:val="4"/>
  </w:num>
  <w:num w:numId="18" w16cid:durableId="28577685">
    <w:abstractNumId w:val="37"/>
  </w:num>
  <w:num w:numId="19" w16cid:durableId="536432293">
    <w:abstractNumId w:val="14"/>
  </w:num>
  <w:num w:numId="20" w16cid:durableId="294067147">
    <w:abstractNumId w:val="21"/>
  </w:num>
  <w:num w:numId="21" w16cid:durableId="256913096">
    <w:abstractNumId w:val="31"/>
  </w:num>
  <w:num w:numId="22" w16cid:durableId="1362316120">
    <w:abstractNumId w:val="23"/>
  </w:num>
  <w:num w:numId="23" w16cid:durableId="1770389762">
    <w:abstractNumId w:val="42"/>
  </w:num>
  <w:num w:numId="24" w16cid:durableId="1645740696">
    <w:abstractNumId w:val="17"/>
  </w:num>
  <w:num w:numId="25" w16cid:durableId="689573035">
    <w:abstractNumId w:val="19"/>
  </w:num>
  <w:num w:numId="26" w16cid:durableId="1229268123">
    <w:abstractNumId w:val="36"/>
  </w:num>
  <w:num w:numId="27" w16cid:durableId="1841387900">
    <w:abstractNumId w:val="24"/>
  </w:num>
  <w:num w:numId="28" w16cid:durableId="1464690437">
    <w:abstractNumId w:val="16"/>
  </w:num>
  <w:num w:numId="29" w16cid:durableId="888610289">
    <w:abstractNumId w:val="10"/>
  </w:num>
  <w:num w:numId="30" w16cid:durableId="672487287">
    <w:abstractNumId w:val="7"/>
  </w:num>
  <w:num w:numId="31" w16cid:durableId="1881163090">
    <w:abstractNumId w:val="8"/>
  </w:num>
  <w:num w:numId="32" w16cid:durableId="1213421316">
    <w:abstractNumId w:val="33"/>
  </w:num>
  <w:num w:numId="33" w16cid:durableId="524098105">
    <w:abstractNumId w:val="28"/>
  </w:num>
  <w:num w:numId="34" w16cid:durableId="317923534">
    <w:abstractNumId w:val="38"/>
  </w:num>
  <w:num w:numId="35" w16cid:durableId="133370803">
    <w:abstractNumId w:val="40"/>
  </w:num>
  <w:num w:numId="36" w16cid:durableId="559050981">
    <w:abstractNumId w:val="25"/>
  </w:num>
  <w:num w:numId="37" w16cid:durableId="1791243005">
    <w:abstractNumId w:val="41"/>
  </w:num>
  <w:num w:numId="38" w16cid:durableId="514463289">
    <w:abstractNumId w:val="12"/>
  </w:num>
  <w:num w:numId="39" w16cid:durableId="1276598788">
    <w:abstractNumId w:val="32"/>
  </w:num>
  <w:num w:numId="40" w16cid:durableId="1863008106">
    <w:abstractNumId w:val="6"/>
  </w:num>
  <w:num w:numId="41" w16cid:durableId="223373975">
    <w:abstractNumId w:val="1"/>
  </w:num>
  <w:num w:numId="42" w16cid:durableId="673727892">
    <w:abstractNumId w:val="5"/>
  </w:num>
  <w:num w:numId="43" w16cid:durableId="1016544285">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IwNzU0NzC0MDC0tDRS0lEKTi0uzszPAykwrwUAodT2+iwAAAA="/>
    <w:docVar w:name="EN.InstantFormat" w:val="&lt;ENInstantFormat&gt;&lt;Enabled&gt;0&lt;/Enabled&gt;&lt;ScanUnformatted&gt;1&lt;/ScanUnformatted&gt;&lt;ScanChanges&gt;1&lt;/ScanChanges&gt;&lt;Suspended&gt;0&lt;/Suspended&gt;&lt;/ENInstantFormat&gt;"/>
    <w:docVar w:name="EN.Layout" w:val="&lt;ENLayout&gt;&lt;Style&gt;Vancouver Copy 2&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1&lt;/SpaceAfter&gt;&lt;HyperlinksEnabled&gt;0&lt;/HyperlinksEnabled&gt;&lt;HyperlinksVisible&gt;0&lt;/HyperlinksVisible&gt;&lt;EnableBibliographyCategories&gt;0&lt;/EnableBibliographyCategories&gt;&lt;/ENLayout&gt;"/>
    <w:docVar w:name="EN.Libraries" w:val="&lt;Libraries&gt;&lt;item db-id=&quot;xwvwxzxtvwsrete5seyxezppast0dxsddrx0&quot;&gt;STAR FINAL REPORT 2021&lt;record-ids&gt;&lt;item&gt;1&lt;/item&gt;&lt;item&gt;2&lt;/item&gt;&lt;item&gt;3&lt;/item&gt;&lt;item&gt;4&lt;/item&gt;&lt;item&gt;5&lt;/item&gt;&lt;item&gt;6&lt;/item&gt;&lt;item&gt;7&lt;/item&gt;&lt;item&gt;8&lt;/item&gt;&lt;item&gt;9&lt;/item&gt;&lt;item&gt;10&lt;/item&gt;&lt;item&gt;11&lt;/item&gt;&lt;item&gt;12&lt;/item&gt;&lt;item&gt;13&lt;/item&gt;&lt;item&gt;14&lt;/item&gt;&lt;item&gt;15&lt;/item&gt;&lt;item&gt;16&lt;/item&gt;&lt;item&gt;17&lt;/item&gt;&lt;item&gt;18&lt;/item&gt;&lt;item&gt;19&lt;/item&gt;&lt;item&gt;20&lt;/item&gt;&lt;item&gt;21&lt;/item&gt;&lt;item&gt;22&lt;/item&gt;&lt;item&gt;23&lt;/item&gt;&lt;item&gt;24&lt;/item&gt;&lt;item&gt;25&lt;/item&gt;&lt;item&gt;26&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4&lt;/item&gt;&lt;item&gt;45&lt;/item&gt;&lt;item&gt;46&lt;/item&gt;&lt;item&gt;47&lt;/item&gt;&lt;item&gt;48&lt;/item&gt;&lt;item&gt;49&lt;/item&gt;&lt;item&gt;50&lt;/item&gt;&lt;item&gt;51&lt;/item&gt;&lt;item&gt;52&lt;/item&gt;&lt;item&gt;53&lt;/item&gt;&lt;item&gt;54&lt;/item&gt;&lt;item&gt;55&lt;/item&gt;&lt;item&gt;56&lt;/item&gt;&lt;item&gt;57&lt;/item&gt;&lt;item&gt;58&lt;/item&gt;&lt;item&gt;59&lt;/item&gt;&lt;item&gt;60&lt;/item&gt;&lt;item&gt;61&lt;/item&gt;&lt;item&gt;62&lt;/item&gt;&lt;item&gt;63&lt;/item&gt;&lt;item&gt;64&lt;/item&gt;&lt;item&gt;65&lt;/item&gt;&lt;item&gt;66&lt;/item&gt;&lt;item&gt;67&lt;/item&gt;&lt;item&gt;68&lt;/item&gt;&lt;item&gt;69&lt;/item&gt;&lt;item&gt;70&lt;/item&gt;&lt;item&gt;72&lt;/item&gt;&lt;item&gt;73&lt;/item&gt;&lt;item&gt;74&lt;/item&gt;&lt;item&gt;75&lt;/item&gt;&lt;item&gt;77&lt;/item&gt;&lt;item&gt;78&lt;/item&gt;&lt;item&gt;79&lt;/item&gt;&lt;item&gt;80&lt;/item&gt;&lt;item&gt;81&lt;/item&gt;&lt;item&gt;82&lt;/item&gt;&lt;item&gt;83&lt;/item&gt;&lt;item&gt;84&lt;/item&gt;&lt;item&gt;85&lt;/item&gt;&lt;item&gt;86&lt;/item&gt;&lt;item&gt;88&lt;/item&gt;&lt;item&gt;89&lt;/item&gt;&lt;item&gt;90&lt;/item&gt;&lt;item&gt;91&lt;/item&gt;&lt;item&gt;92&lt;/item&gt;&lt;item&gt;93&lt;/item&gt;&lt;item&gt;94&lt;/item&gt;&lt;item&gt;95&lt;/item&gt;&lt;item&gt;96&lt;/item&gt;&lt;item&gt;97&lt;/item&gt;&lt;item&gt;98&lt;/item&gt;&lt;item&gt;99&lt;/item&gt;&lt;item&gt;100&lt;/item&gt;&lt;item&gt;101&lt;/item&gt;&lt;item&gt;102&lt;/item&gt;&lt;item&gt;103&lt;/item&gt;&lt;item&gt;104&lt;/item&gt;&lt;item&gt;105&lt;/item&gt;&lt;item&gt;106&lt;/item&gt;&lt;item&gt;107&lt;/item&gt;&lt;item&gt;108&lt;/item&gt;&lt;item&gt;109&lt;/item&gt;&lt;item&gt;110&lt;/item&gt;&lt;item&gt;111&lt;/item&gt;&lt;item&gt;112&lt;/item&gt;&lt;item&gt;113&lt;/item&gt;&lt;item&gt;114&lt;/item&gt;&lt;item&gt;115&lt;/item&gt;&lt;item&gt;116&lt;/item&gt;&lt;item&gt;117&lt;/item&gt;&lt;item&gt;118&lt;/item&gt;&lt;item&gt;119&lt;/item&gt;&lt;item&gt;120&lt;/item&gt;&lt;item&gt;121&lt;/item&gt;&lt;item&gt;122&lt;/item&gt;&lt;item&gt;123&lt;/item&gt;&lt;item&gt;124&lt;/item&gt;&lt;item&gt;125&lt;/item&gt;&lt;item&gt;126&lt;/item&gt;&lt;item&gt;127&lt;/item&gt;&lt;item&gt;128&lt;/item&gt;&lt;item&gt;129&lt;/item&gt;&lt;item&gt;130&lt;/item&gt;&lt;item&gt;131&lt;/item&gt;&lt;item&gt;132&lt;/item&gt;&lt;item&gt;133&lt;/item&gt;&lt;item&gt;134&lt;/item&gt;&lt;item&gt;135&lt;/item&gt;&lt;item&gt;136&lt;/item&gt;&lt;item&gt;137&lt;/item&gt;&lt;item&gt;138&lt;/item&gt;&lt;item&gt;139&lt;/item&gt;&lt;item&gt;140&lt;/item&gt;&lt;item&gt;141&lt;/item&gt;&lt;item&gt;142&lt;/item&gt;&lt;item&gt;143&lt;/item&gt;&lt;item&gt;144&lt;/item&gt;&lt;item&gt;145&lt;/item&gt;&lt;item&gt;146&lt;/item&gt;&lt;item&gt;147&lt;/item&gt;&lt;item&gt;148&lt;/item&gt;&lt;item&gt;149&lt;/item&gt;&lt;item&gt;150&lt;/item&gt;&lt;item&gt;151&lt;/item&gt;&lt;item&gt;152&lt;/item&gt;&lt;item&gt;153&lt;/item&gt;&lt;item&gt;164&lt;/item&gt;&lt;item&gt;169&lt;/item&gt;&lt;item&gt;170&lt;/item&gt;&lt;item&gt;171&lt;/item&gt;&lt;item&gt;172&lt;/item&gt;&lt;item&gt;173&lt;/item&gt;&lt;item&gt;174&lt;/item&gt;&lt;item&gt;175&lt;/item&gt;&lt;item&gt;176&lt;/item&gt;&lt;item&gt;177&lt;/item&gt;&lt;item&gt;178&lt;/item&gt;&lt;item&gt;179&lt;/item&gt;&lt;item&gt;180&lt;/item&gt;&lt;item&gt;181&lt;/item&gt;&lt;/record-ids&gt;&lt;/item&gt;&lt;/Libraries&gt;"/>
  </w:docVars>
  <w:rsids>
    <w:rsidRoot w:val="00271A02"/>
    <w:rsid w:val="0000009D"/>
    <w:rsid w:val="00001708"/>
    <w:rsid w:val="00002B77"/>
    <w:rsid w:val="00002E04"/>
    <w:rsid w:val="00004115"/>
    <w:rsid w:val="00004594"/>
    <w:rsid w:val="000062ED"/>
    <w:rsid w:val="00006C6F"/>
    <w:rsid w:val="00007766"/>
    <w:rsid w:val="000134B0"/>
    <w:rsid w:val="00014328"/>
    <w:rsid w:val="00014D4A"/>
    <w:rsid w:val="00016319"/>
    <w:rsid w:val="00016979"/>
    <w:rsid w:val="00016D1F"/>
    <w:rsid w:val="0001785B"/>
    <w:rsid w:val="00020047"/>
    <w:rsid w:val="00020263"/>
    <w:rsid w:val="0002178C"/>
    <w:rsid w:val="00021D98"/>
    <w:rsid w:val="000223BB"/>
    <w:rsid w:val="000239DE"/>
    <w:rsid w:val="00027966"/>
    <w:rsid w:val="000304BD"/>
    <w:rsid w:val="0003528A"/>
    <w:rsid w:val="0003591E"/>
    <w:rsid w:val="000401C4"/>
    <w:rsid w:val="00040B42"/>
    <w:rsid w:val="00040BE8"/>
    <w:rsid w:val="00040DE4"/>
    <w:rsid w:val="00043338"/>
    <w:rsid w:val="00043474"/>
    <w:rsid w:val="00043713"/>
    <w:rsid w:val="000437E8"/>
    <w:rsid w:val="00045A51"/>
    <w:rsid w:val="00045AE4"/>
    <w:rsid w:val="00045BAE"/>
    <w:rsid w:val="00046DF1"/>
    <w:rsid w:val="00047186"/>
    <w:rsid w:val="000514EA"/>
    <w:rsid w:val="0005167C"/>
    <w:rsid w:val="00051BB6"/>
    <w:rsid w:val="00051DFE"/>
    <w:rsid w:val="0005334F"/>
    <w:rsid w:val="000536A6"/>
    <w:rsid w:val="00055E98"/>
    <w:rsid w:val="000560F2"/>
    <w:rsid w:val="00057BC4"/>
    <w:rsid w:val="00060383"/>
    <w:rsid w:val="0006071F"/>
    <w:rsid w:val="000620BE"/>
    <w:rsid w:val="000624D7"/>
    <w:rsid w:val="000632F1"/>
    <w:rsid w:val="0006331D"/>
    <w:rsid w:val="0006656A"/>
    <w:rsid w:val="00066F23"/>
    <w:rsid w:val="00072A8C"/>
    <w:rsid w:val="00073A85"/>
    <w:rsid w:val="0007483B"/>
    <w:rsid w:val="000748AD"/>
    <w:rsid w:val="0007491D"/>
    <w:rsid w:val="00075165"/>
    <w:rsid w:val="000774AB"/>
    <w:rsid w:val="00077C7A"/>
    <w:rsid w:val="00080BCC"/>
    <w:rsid w:val="0008201D"/>
    <w:rsid w:val="00082D20"/>
    <w:rsid w:val="0008743C"/>
    <w:rsid w:val="00091C97"/>
    <w:rsid w:val="00095289"/>
    <w:rsid w:val="0009674A"/>
    <w:rsid w:val="00096CA8"/>
    <w:rsid w:val="000A0317"/>
    <w:rsid w:val="000A1B92"/>
    <w:rsid w:val="000A3575"/>
    <w:rsid w:val="000A524A"/>
    <w:rsid w:val="000A5F8B"/>
    <w:rsid w:val="000A7617"/>
    <w:rsid w:val="000A7798"/>
    <w:rsid w:val="000B0794"/>
    <w:rsid w:val="000B3496"/>
    <w:rsid w:val="000B4580"/>
    <w:rsid w:val="000B466C"/>
    <w:rsid w:val="000B543C"/>
    <w:rsid w:val="000B5CF9"/>
    <w:rsid w:val="000B7F66"/>
    <w:rsid w:val="000C0867"/>
    <w:rsid w:val="000C2196"/>
    <w:rsid w:val="000C2F63"/>
    <w:rsid w:val="000C40AB"/>
    <w:rsid w:val="000C491F"/>
    <w:rsid w:val="000D118E"/>
    <w:rsid w:val="000D19BA"/>
    <w:rsid w:val="000D427A"/>
    <w:rsid w:val="000D4769"/>
    <w:rsid w:val="000D57F1"/>
    <w:rsid w:val="000D59A6"/>
    <w:rsid w:val="000D68A2"/>
    <w:rsid w:val="000E1901"/>
    <w:rsid w:val="000E1E93"/>
    <w:rsid w:val="000E428C"/>
    <w:rsid w:val="000E6058"/>
    <w:rsid w:val="000F08AD"/>
    <w:rsid w:val="000F218F"/>
    <w:rsid w:val="000F2386"/>
    <w:rsid w:val="000F5C57"/>
    <w:rsid w:val="000F7131"/>
    <w:rsid w:val="000F72BC"/>
    <w:rsid w:val="001001C8"/>
    <w:rsid w:val="00102AD7"/>
    <w:rsid w:val="00102EF4"/>
    <w:rsid w:val="0010328F"/>
    <w:rsid w:val="00103FBC"/>
    <w:rsid w:val="001058A4"/>
    <w:rsid w:val="00106EA1"/>
    <w:rsid w:val="00107254"/>
    <w:rsid w:val="001072D7"/>
    <w:rsid w:val="00107FC1"/>
    <w:rsid w:val="001174CB"/>
    <w:rsid w:val="0011753E"/>
    <w:rsid w:val="00126DF4"/>
    <w:rsid w:val="0012710C"/>
    <w:rsid w:val="001316AF"/>
    <w:rsid w:val="00131708"/>
    <w:rsid w:val="0013410B"/>
    <w:rsid w:val="00135278"/>
    <w:rsid w:val="00135331"/>
    <w:rsid w:val="00135AA2"/>
    <w:rsid w:val="001401DD"/>
    <w:rsid w:val="001408B0"/>
    <w:rsid w:val="00141055"/>
    <w:rsid w:val="001438B9"/>
    <w:rsid w:val="001441AC"/>
    <w:rsid w:val="001453B1"/>
    <w:rsid w:val="00145DF6"/>
    <w:rsid w:val="00147077"/>
    <w:rsid w:val="00147159"/>
    <w:rsid w:val="00147876"/>
    <w:rsid w:val="00152517"/>
    <w:rsid w:val="001556C8"/>
    <w:rsid w:val="001567C6"/>
    <w:rsid w:val="001577C9"/>
    <w:rsid w:val="00157A6C"/>
    <w:rsid w:val="00161542"/>
    <w:rsid w:val="00162218"/>
    <w:rsid w:val="00162AFF"/>
    <w:rsid w:val="00162B7B"/>
    <w:rsid w:val="001636BC"/>
    <w:rsid w:val="00163CFF"/>
    <w:rsid w:val="00163DBE"/>
    <w:rsid w:val="00164AE8"/>
    <w:rsid w:val="00170E4C"/>
    <w:rsid w:val="00171272"/>
    <w:rsid w:val="00171D0A"/>
    <w:rsid w:val="00171F53"/>
    <w:rsid w:val="00172A44"/>
    <w:rsid w:val="00173D11"/>
    <w:rsid w:val="00174917"/>
    <w:rsid w:val="00175923"/>
    <w:rsid w:val="00176B20"/>
    <w:rsid w:val="00176CCA"/>
    <w:rsid w:val="00180504"/>
    <w:rsid w:val="00182E57"/>
    <w:rsid w:val="00185885"/>
    <w:rsid w:val="00185B4B"/>
    <w:rsid w:val="0018676C"/>
    <w:rsid w:val="001900CC"/>
    <w:rsid w:val="0019149F"/>
    <w:rsid w:val="001914B7"/>
    <w:rsid w:val="00192703"/>
    <w:rsid w:val="0019374F"/>
    <w:rsid w:val="00194D3E"/>
    <w:rsid w:val="00194DDF"/>
    <w:rsid w:val="00195243"/>
    <w:rsid w:val="001952E5"/>
    <w:rsid w:val="001954F8"/>
    <w:rsid w:val="00195586"/>
    <w:rsid w:val="001A421D"/>
    <w:rsid w:val="001A47A8"/>
    <w:rsid w:val="001A4EE0"/>
    <w:rsid w:val="001A79C1"/>
    <w:rsid w:val="001B1B6C"/>
    <w:rsid w:val="001B2663"/>
    <w:rsid w:val="001B6294"/>
    <w:rsid w:val="001B6ECE"/>
    <w:rsid w:val="001B75D1"/>
    <w:rsid w:val="001C3362"/>
    <w:rsid w:val="001C3A22"/>
    <w:rsid w:val="001C3B83"/>
    <w:rsid w:val="001C4BFF"/>
    <w:rsid w:val="001C4D69"/>
    <w:rsid w:val="001C52E7"/>
    <w:rsid w:val="001C621F"/>
    <w:rsid w:val="001C7325"/>
    <w:rsid w:val="001C7E39"/>
    <w:rsid w:val="001D0AAB"/>
    <w:rsid w:val="001D1087"/>
    <w:rsid w:val="001D1850"/>
    <w:rsid w:val="001D1F66"/>
    <w:rsid w:val="001D25E5"/>
    <w:rsid w:val="001D4F4F"/>
    <w:rsid w:val="001D58F3"/>
    <w:rsid w:val="001D736C"/>
    <w:rsid w:val="001DE2C1"/>
    <w:rsid w:val="001E0BAA"/>
    <w:rsid w:val="001E0C10"/>
    <w:rsid w:val="001E4D58"/>
    <w:rsid w:val="001E607B"/>
    <w:rsid w:val="001E7A6F"/>
    <w:rsid w:val="001F04D1"/>
    <w:rsid w:val="001F09C7"/>
    <w:rsid w:val="001F1120"/>
    <w:rsid w:val="001F288D"/>
    <w:rsid w:val="001F31F8"/>
    <w:rsid w:val="001F3D3E"/>
    <w:rsid w:val="001F5DD5"/>
    <w:rsid w:val="001F7AFB"/>
    <w:rsid w:val="001F7B56"/>
    <w:rsid w:val="001FF2AF"/>
    <w:rsid w:val="00202234"/>
    <w:rsid w:val="00202869"/>
    <w:rsid w:val="0020485D"/>
    <w:rsid w:val="002070CE"/>
    <w:rsid w:val="00210AB7"/>
    <w:rsid w:val="00210DBD"/>
    <w:rsid w:val="0021178F"/>
    <w:rsid w:val="00211BDD"/>
    <w:rsid w:val="00213106"/>
    <w:rsid w:val="00213325"/>
    <w:rsid w:val="0021376C"/>
    <w:rsid w:val="00213DDB"/>
    <w:rsid w:val="00214432"/>
    <w:rsid w:val="00215263"/>
    <w:rsid w:val="00215FC2"/>
    <w:rsid w:val="00217A68"/>
    <w:rsid w:val="002208D1"/>
    <w:rsid w:val="00220B3C"/>
    <w:rsid w:val="002235D7"/>
    <w:rsid w:val="0022E477"/>
    <w:rsid w:val="00230B1A"/>
    <w:rsid w:val="00231469"/>
    <w:rsid w:val="00234E18"/>
    <w:rsid w:val="00235817"/>
    <w:rsid w:val="0023621B"/>
    <w:rsid w:val="0024063B"/>
    <w:rsid w:val="00242083"/>
    <w:rsid w:val="0024216D"/>
    <w:rsid w:val="002427A3"/>
    <w:rsid w:val="002429C4"/>
    <w:rsid w:val="00247AE3"/>
    <w:rsid w:val="00247FC2"/>
    <w:rsid w:val="00251281"/>
    <w:rsid w:val="002515F3"/>
    <w:rsid w:val="002561C2"/>
    <w:rsid w:val="00263BA2"/>
    <w:rsid w:val="002655BF"/>
    <w:rsid w:val="00265C70"/>
    <w:rsid w:val="00266C3C"/>
    <w:rsid w:val="00267C76"/>
    <w:rsid w:val="002700BD"/>
    <w:rsid w:val="0027070F"/>
    <w:rsid w:val="00270F03"/>
    <w:rsid w:val="00271A02"/>
    <w:rsid w:val="00272A29"/>
    <w:rsid w:val="002732E4"/>
    <w:rsid w:val="00273936"/>
    <w:rsid w:val="00273BBF"/>
    <w:rsid w:val="00275C24"/>
    <w:rsid w:val="00275D5A"/>
    <w:rsid w:val="00277A40"/>
    <w:rsid w:val="00277A91"/>
    <w:rsid w:val="00278AE7"/>
    <w:rsid w:val="00281C1C"/>
    <w:rsid w:val="00282E7D"/>
    <w:rsid w:val="0028346F"/>
    <w:rsid w:val="00285238"/>
    <w:rsid w:val="00286215"/>
    <w:rsid w:val="002869B3"/>
    <w:rsid w:val="00287E96"/>
    <w:rsid w:val="00292DA1"/>
    <w:rsid w:val="00293EF6"/>
    <w:rsid w:val="00294564"/>
    <w:rsid w:val="002953B3"/>
    <w:rsid w:val="002A0127"/>
    <w:rsid w:val="002A0B0F"/>
    <w:rsid w:val="002A1442"/>
    <w:rsid w:val="002A1AD6"/>
    <w:rsid w:val="002A5840"/>
    <w:rsid w:val="002A5E6E"/>
    <w:rsid w:val="002AAF93"/>
    <w:rsid w:val="002B2AAE"/>
    <w:rsid w:val="002B4D43"/>
    <w:rsid w:val="002B4F6B"/>
    <w:rsid w:val="002C001C"/>
    <w:rsid w:val="002C07A6"/>
    <w:rsid w:val="002C1537"/>
    <w:rsid w:val="002C19B5"/>
    <w:rsid w:val="002C203C"/>
    <w:rsid w:val="002C398A"/>
    <w:rsid w:val="002C5B25"/>
    <w:rsid w:val="002D097D"/>
    <w:rsid w:val="002D18DC"/>
    <w:rsid w:val="002D314B"/>
    <w:rsid w:val="002D3347"/>
    <w:rsid w:val="002D33A9"/>
    <w:rsid w:val="002D33BF"/>
    <w:rsid w:val="002D3A29"/>
    <w:rsid w:val="002D4A89"/>
    <w:rsid w:val="002D5C95"/>
    <w:rsid w:val="002D6A99"/>
    <w:rsid w:val="002E098A"/>
    <w:rsid w:val="002E33D2"/>
    <w:rsid w:val="002E432E"/>
    <w:rsid w:val="002E4818"/>
    <w:rsid w:val="002E4D5F"/>
    <w:rsid w:val="002E792B"/>
    <w:rsid w:val="002F2090"/>
    <w:rsid w:val="002F265B"/>
    <w:rsid w:val="002F2760"/>
    <w:rsid w:val="002F4F1C"/>
    <w:rsid w:val="002F4FBE"/>
    <w:rsid w:val="002F5129"/>
    <w:rsid w:val="002F5618"/>
    <w:rsid w:val="00300713"/>
    <w:rsid w:val="0030269B"/>
    <w:rsid w:val="00302DAF"/>
    <w:rsid w:val="00303F55"/>
    <w:rsid w:val="00304103"/>
    <w:rsid w:val="00305398"/>
    <w:rsid w:val="0031077B"/>
    <w:rsid w:val="00312D48"/>
    <w:rsid w:val="00313959"/>
    <w:rsid w:val="00313985"/>
    <w:rsid w:val="00316B43"/>
    <w:rsid w:val="00316C6B"/>
    <w:rsid w:val="003173C8"/>
    <w:rsid w:val="00320B96"/>
    <w:rsid w:val="00320C73"/>
    <w:rsid w:val="003219E4"/>
    <w:rsid w:val="00324CBE"/>
    <w:rsid w:val="003253F6"/>
    <w:rsid w:val="0032554B"/>
    <w:rsid w:val="00330082"/>
    <w:rsid w:val="003306BC"/>
    <w:rsid w:val="00331941"/>
    <w:rsid w:val="003327DC"/>
    <w:rsid w:val="00335DCE"/>
    <w:rsid w:val="00340229"/>
    <w:rsid w:val="00340586"/>
    <w:rsid w:val="00340AC7"/>
    <w:rsid w:val="00340E60"/>
    <w:rsid w:val="00341081"/>
    <w:rsid w:val="00342EB8"/>
    <w:rsid w:val="00343156"/>
    <w:rsid w:val="003431FF"/>
    <w:rsid w:val="00343B49"/>
    <w:rsid w:val="00343B61"/>
    <w:rsid w:val="003447C3"/>
    <w:rsid w:val="003457A4"/>
    <w:rsid w:val="00346402"/>
    <w:rsid w:val="00347ED0"/>
    <w:rsid w:val="00351E28"/>
    <w:rsid w:val="003522BA"/>
    <w:rsid w:val="00352670"/>
    <w:rsid w:val="00355AA8"/>
    <w:rsid w:val="003562D4"/>
    <w:rsid w:val="00361EFD"/>
    <w:rsid w:val="0036487A"/>
    <w:rsid w:val="00365308"/>
    <w:rsid w:val="0036571E"/>
    <w:rsid w:val="0036585C"/>
    <w:rsid w:val="00366133"/>
    <w:rsid w:val="0036695F"/>
    <w:rsid w:val="00366B51"/>
    <w:rsid w:val="003712C2"/>
    <w:rsid w:val="00371581"/>
    <w:rsid w:val="003747D5"/>
    <w:rsid w:val="00375693"/>
    <w:rsid w:val="00376831"/>
    <w:rsid w:val="00377BB8"/>
    <w:rsid w:val="00381815"/>
    <w:rsid w:val="00382624"/>
    <w:rsid w:val="00386D6F"/>
    <w:rsid w:val="00391297"/>
    <w:rsid w:val="0039194A"/>
    <w:rsid w:val="003932BD"/>
    <w:rsid w:val="003933EA"/>
    <w:rsid w:val="00393673"/>
    <w:rsid w:val="00394966"/>
    <w:rsid w:val="0039596C"/>
    <w:rsid w:val="003980C8"/>
    <w:rsid w:val="003A134D"/>
    <w:rsid w:val="003A1C16"/>
    <w:rsid w:val="003A4820"/>
    <w:rsid w:val="003A5C2F"/>
    <w:rsid w:val="003A6966"/>
    <w:rsid w:val="003A696F"/>
    <w:rsid w:val="003B093C"/>
    <w:rsid w:val="003B0D1A"/>
    <w:rsid w:val="003B1A93"/>
    <w:rsid w:val="003B1DCD"/>
    <w:rsid w:val="003B23A7"/>
    <w:rsid w:val="003B37DF"/>
    <w:rsid w:val="003B44AD"/>
    <w:rsid w:val="003B507E"/>
    <w:rsid w:val="003B76E5"/>
    <w:rsid w:val="003C031E"/>
    <w:rsid w:val="003C0470"/>
    <w:rsid w:val="003C17F0"/>
    <w:rsid w:val="003C25B2"/>
    <w:rsid w:val="003C2ACE"/>
    <w:rsid w:val="003C6403"/>
    <w:rsid w:val="003C71C8"/>
    <w:rsid w:val="003C75A8"/>
    <w:rsid w:val="003C7CB8"/>
    <w:rsid w:val="003D06EF"/>
    <w:rsid w:val="003D18C7"/>
    <w:rsid w:val="003D2767"/>
    <w:rsid w:val="003D367D"/>
    <w:rsid w:val="003D4472"/>
    <w:rsid w:val="003D60E3"/>
    <w:rsid w:val="003D6B31"/>
    <w:rsid w:val="003E1B90"/>
    <w:rsid w:val="003E20EB"/>
    <w:rsid w:val="003E26DE"/>
    <w:rsid w:val="003E48C2"/>
    <w:rsid w:val="003E4B7C"/>
    <w:rsid w:val="003E547F"/>
    <w:rsid w:val="003E5ECB"/>
    <w:rsid w:val="003E5FA6"/>
    <w:rsid w:val="003E7653"/>
    <w:rsid w:val="003E7908"/>
    <w:rsid w:val="003EA6E2"/>
    <w:rsid w:val="003F05E7"/>
    <w:rsid w:val="003F161F"/>
    <w:rsid w:val="003F1F29"/>
    <w:rsid w:val="003F21C1"/>
    <w:rsid w:val="003F4226"/>
    <w:rsid w:val="003F5B81"/>
    <w:rsid w:val="003F6CFA"/>
    <w:rsid w:val="003F7DD1"/>
    <w:rsid w:val="00400B9F"/>
    <w:rsid w:val="00400F2A"/>
    <w:rsid w:val="00401E26"/>
    <w:rsid w:val="004041C6"/>
    <w:rsid w:val="00405B8B"/>
    <w:rsid w:val="00405D1B"/>
    <w:rsid w:val="00407692"/>
    <w:rsid w:val="004077E9"/>
    <w:rsid w:val="00407F7C"/>
    <w:rsid w:val="00410E29"/>
    <w:rsid w:val="004113B1"/>
    <w:rsid w:val="00411DB7"/>
    <w:rsid w:val="00412897"/>
    <w:rsid w:val="00412C78"/>
    <w:rsid w:val="0041461C"/>
    <w:rsid w:val="00415D68"/>
    <w:rsid w:val="0041659E"/>
    <w:rsid w:val="004165F4"/>
    <w:rsid w:val="0041A607"/>
    <w:rsid w:val="0042223B"/>
    <w:rsid w:val="004234DD"/>
    <w:rsid w:val="00423DD7"/>
    <w:rsid w:val="00425009"/>
    <w:rsid w:val="00426DBA"/>
    <w:rsid w:val="00427885"/>
    <w:rsid w:val="00427F6E"/>
    <w:rsid w:val="0042E0E4"/>
    <w:rsid w:val="0043045B"/>
    <w:rsid w:val="004305C6"/>
    <w:rsid w:val="004316E3"/>
    <w:rsid w:val="0043285E"/>
    <w:rsid w:val="0043528B"/>
    <w:rsid w:val="00437985"/>
    <w:rsid w:val="0044383C"/>
    <w:rsid w:val="00445AFE"/>
    <w:rsid w:val="00450D0E"/>
    <w:rsid w:val="004521FF"/>
    <w:rsid w:val="00452BEA"/>
    <w:rsid w:val="004537C8"/>
    <w:rsid w:val="00455658"/>
    <w:rsid w:val="004559B3"/>
    <w:rsid w:val="00456468"/>
    <w:rsid w:val="004565E1"/>
    <w:rsid w:val="0045685E"/>
    <w:rsid w:val="00457714"/>
    <w:rsid w:val="00457EC3"/>
    <w:rsid w:val="004601D7"/>
    <w:rsid w:val="00464732"/>
    <w:rsid w:val="0046503A"/>
    <w:rsid w:val="0047139D"/>
    <w:rsid w:val="0047142D"/>
    <w:rsid w:val="00472982"/>
    <w:rsid w:val="00475236"/>
    <w:rsid w:val="00475538"/>
    <w:rsid w:val="0047599B"/>
    <w:rsid w:val="00476C7F"/>
    <w:rsid w:val="00480326"/>
    <w:rsid w:val="00482858"/>
    <w:rsid w:val="00482EB5"/>
    <w:rsid w:val="00482F6A"/>
    <w:rsid w:val="004830E8"/>
    <w:rsid w:val="00483856"/>
    <w:rsid w:val="00484BDA"/>
    <w:rsid w:val="004852E4"/>
    <w:rsid w:val="004855C4"/>
    <w:rsid w:val="004900B6"/>
    <w:rsid w:val="00490C60"/>
    <w:rsid w:val="00491644"/>
    <w:rsid w:val="00491A61"/>
    <w:rsid w:val="0049257F"/>
    <w:rsid w:val="00494CB9"/>
    <w:rsid w:val="00495620"/>
    <w:rsid w:val="004962CA"/>
    <w:rsid w:val="0049723A"/>
    <w:rsid w:val="004A0187"/>
    <w:rsid w:val="004A0BFE"/>
    <w:rsid w:val="004A3EB7"/>
    <w:rsid w:val="004A54BD"/>
    <w:rsid w:val="004B152E"/>
    <w:rsid w:val="004B16AA"/>
    <w:rsid w:val="004B46AC"/>
    <w:rsid w:val="004B48D9"/>
    <w:rsid w:val="004B5327"/>
    <w:rsid w:val="004B543F"/>
    <w:rsid w:val="004C2529"/>
    <w:rsid w:val="004C355C"/>
    <w:rsid w:val="004C3F41"/>
    <w:rsid w:val="004C5003"/>
    <w:rsid w:val="004C5423"/>
    <w:rsid w:val="004C5EC5"/>
    <w:rsid w:val="004C728F"/>
    <w:rsid w:val="004D0151"/>
    <w:rsid w:val="004D2F15"/>
    <w:rsid w:val="004D2F40"/>
    <w:rsid w:val="004D6226"/>
    <w:rsid w:val="004D6B0F"/>
    <w:rsid w:val="004D6E76"/>
    <w:rsid w:val="004D7A05"/>
    <w:rsid w:val="004E0779"/>
    <w:rsid w:val="004E0F1B"/>
    <w:rsid w:val="004E0F2E"/>
    <w:rsid w:val="004E38B8"/>
    <w:rsid w:val="004E428C"/>
    <w:rsid w:val="004E53F7"/>
    <w:rsid w:val="004E589F"/>
    <w:rsid w:val="004E66DA"/>
    <w:rsid w:val="004E681D"/>
    <w:rsid w:val="004E7698"/>
    <w:rsid w:val="004F0EAC"/>
    <w:rsid w:val="004F1032"/>
    <w:rsid w:val="004F19FE"/>
    <w:rsid w:val="004F3230"/>
    <w:rsid w:val="004F3FBF"/>
    <w:rsid w:val="004F4276"/>
    <w:rsid w:val="004F6426"/>
    <w:rsid w:val="004F6C3C"/>
    <w:rsid w:val="004F768B"/>
    <w:rsid w:val="004FED94"/>
    <w:rsid w:val="00500DE2"/>
    <w:rsid w:val="0050172B"/>
    <w:rsid w:val="0050495A"/>
    <w:rsid w:val="0050520B"/>
    <w:rsid w:val="00505735"/>
    <w:rsid w:val="005076CB"/>
    <w:rsid w:val="00507E8A"/>
    <w:rsid w:val="005103DE"/>
    <w:rsid w:val="00510AC1"/>
    <w:rsid w:val="00511BCF"/>
    <w:rsid w:val="005126FF"/>
    <w:rsid w:val="00513558"/>
    <w:rsid w:val="00513D46"/>
    <w:rsid w:val="005144B8"/>
    <w:rsid w:val="00514E0F"/>
    <w:rsid w:val="00515395"/>
    <w:rsid w:val="0051711E"/>
    <w:rsid w:val="00520A49"/>
    <w:rsid w:val="005230E8"/>
    <w:rsid w:val="00523B1C"/>
    <w:rsid w:val="005245FB"/>
    <w:rsid w:val="00524A9E"/>
    <w:rsid w:val="00525413"/>
    <w:rsid w:val="00526339"/>
    <w:rsid w:val="00526753"/>
    <w:rsid w:val="005303FF"/>
    <w:rsid w:val="00530A2A"/>
    <w:rsid w:val="00531A4A"/>
    <w:rsid w:val="00533605"/>
    <w:rsid w:val="00533FC8"/>
    <w:rsid w:val="00534629"/>
    <w:rsid w:val="0053474C"/>
    <w:rsid w:val="005349A6"/>
    <w:rsid w:val="00534E93"/>
    <w:rsid w:val="0053604C"/>
    <w:rsid w:val="0053747E"/>
    <w:rsid w:val="0053774B"/>
    <w:rsid w:val="00537C7B"/>
    <w:rsid w:val="00537C97"/>
    <w:rsid w:val="00540A89"/>
    <w:rsid w:val="00541541"/>
    <w:rsid w:val="00546A67"/>
    <w:rsid w:val="0054775A"/>
    <w:rsid w:val="0055003A"/>
    <w:rsid w:val="00550350"/>
    <w:rsid w:val="0055242F"/>
    <w:rsid w:val="00554DF0"/>
    <w:rsid w:val="005557BB"/>
    <w:rsid w:val="00556EA9"/>
    <w:rsid w:val="005618FD"/>
    <w:rsid w:val="00564110"/>
    <w:rsid w:val="00564A98"/>
    <w:rsid w:val="00564DC6"/>
    <w:rsid w:val="00565CE4"/>
    <w:rsid w:val="005662B9"/>
    <w:rsid w:val="00567DB4"/>
    <w:rsid w:val="00572B9A"/>
    <w:rsid w:val="005750B5"/>
    <w:rsid w:val="005758C3"/>
    <w:rsid w:val="00575FDE"/>
    <w:rsid w:val="0057664D"/>
    <w:rsid w:val="005776C2"/>
    <w:rsid w:val="0057ED89"/>
    <w:rsid w:val="0057F12C"/>
    <w:rsid w:val="00580336"/>
    <w:rsid w:val="005806C7"/>
    <w:rsid w:val="00584F44"/>
    <w:rsid w:val="00585A25"/>
    <w:rsid w:val="005907ED"/>
    <w:rsid w:val="005921FC"/>
    <w:rsid w:val="00594E26"/>
    <w:rsid w:val="0059522A"/>
    <w:rsid w:val="00595430"/>
    <w:rsid w:val="00597747"/>
    <w:rsid w:val="00597E15"/>
    <w:rsid w:val="005A072A"/>
    <w:rsid w:val="005A0FA3"/>
    <w:rsid w:val="005A5589"/>
    <w:rsid w:val="005A6292"/>
    <w:rsid w:val="005A730A"/>
    <w:rsid w:val="005ABA7C"/>
    <w:rsid w:val="005B0E0F"/>
    <w:rsid w:val="005B0E75"/>
    <w:rsid w:val="005B1421"/>
    <w:rsid w:val="005B221A"/>
    <w:rsid w:val="005B2766"/>
    <w:rsid w:val="005B43D1"/>
    <w:rsid w:val="005B496E"/>
    <w:rsid w:val="005B4E8E"/>
    <w:rsid w:val="005C0820"/>
    <w:rsid w:val="005C188A"/>
    <w:rsid w:val="005C19C9"/>
    <w:rsid w:val="005C2050"/>
    <w:rsid w:val="005C22FA"/>
    <w:rsid w:val="005C2370"/>
    <w:rsid w:val="005C2A13"/>
    <w:rsid w:val="005C34DF"/>
    <w:rsid w:val="005C595F"/>
    <w:rsid w:val="005C688A"/>
    <w:rsid w:val="005C6CC2"/>
    <w:rsid w:val="005C72E6"/>
    <w:rsid w:val="005C7540"/>
    <w:rsid w:val="005C7B9B"/>
    <w:rsid w:val="005D130F"/>
    <w:rsid w:val="005D1C10"/>
    <w:rsid w:val="005D22DD"/>
    <w:rsid w:val="005D3093"/>
    <w:rsid w:val="005D4938"/>
    <w:rsid w:val="005D5BE1"/>
    <w:rsid w:val="005E07A5"/>
    <w:rsid w:val="005E0C64"/>
    <w:rsid w:val="005E2623"/>
    <w:rsid w:val="005E32D1"/>
    <w:rsid w:val="005E504D"/>
    <w:rsid w:val="005E5062"/>
    <w:rsid w:val="005E6A4E"/>
    <w:rsid w:val="005E79E3"/>
    <w:rsid w:val="005E7A8F"/>
    <w:rsid w:val="005F0C50"/>
    <w:rsid w:val="005F2808"/>
    <w:rsid w:val="005F317C"/>
    <w:rsid w:val="005F4EB0"/>
    <w:rsid w:val="005F4F07"/>
    <w:rsid w:val="005F5ADE"/>
    <w:rsid w:val="005F69FF"/>
    <w:rsid w:val="005F7FAB"/>
    <w:rsid w:val="005F7FE3"/>
    <w:rsid w:val="00602B33"/>
    <w:rsid w:val="0060691F"/>
    <w:rsid w:val="00607812"/>
    <w:rsid w:val="00607C02"/>
    <w:rsid w:val="0061108A"/>
    <w:rsid w:val="0061299A"/>
    <w:rsid w:val="00612CB4"/>
    <w:rsid w:val="00616810"/>
    <w:rsid w:val="00616E46"/>
    <w:rsid w:val="0061CA75"/>
    <w:rsid w:val="0062019D"/>
    <w:rsid w:val="00620A83"/>
    <w:rsid w:val="006213AF"/>
    <w:rsid w:val="0062302F"/>
    <w:rsid w:val="00623C54"/>
    <w:rsid w:val="0062543B"/>
    <w:rsid w:val="00625780"/>
    <w:rsid w:val="00626357"/>
    <w:rsid w:val="00626984"/>
    <w:rsid w:val="0062753F"/>
    <w:rsid w:val="006279AA"/>
    <w:rsid w:val="00627BD8"/>
    <w:rsid w:val="00631499"/>
    <w:rsid w:val="00632329"/>
    <w:rsid w:val="00633A11"/>
    <w:rsid w:val="0063670B"/>
    <w:rsid w:val="00636F90"/>
    <w:rsid w:val="00640725"/>
    <w:rsid w:val="00642205"/>
    <w:rsid w:val="00642E41"/>
    <w:rsid w:val="00643A0F"/>
    <w:rsid w:val="00643D27"/>
    <w:rsid w:val="0064472A"/>
    <w:rsid w:val="006453F5"/>
    <w:rsid w:val="006463F0"/>
    <w:rsid w:val="006505CA"/>
    <w:rsid w:val="00651831"/>
    <w:rsid w:val="00652FA2"/>
    <w:rsid w:val="0065484F"/>
    <w:rsid w:val="0065485E"/>
    <w:rsid w:val="00654CD2"/>
    <w:rsid w:val="00657372"/>
    <w:rsid w:val="0066381D"/>
    <w:rsid w:val="006656C2"/>
    <w:rsid w:val="00666310"/>
    <w:rsid w:val="0067356C"/>
    <w:rsid w:val="00676F36"/>
    <w:rsid w:val="00677602"/>
    <w:rsid w:val="006778B9"/>
    <w:rsid w:val="00677D67"/>
    <w:rsid w:val="00684313"/>
    <w:rsid w:val="0068611E"/>
    <w:rsid w:val="0068627C"/>
    <w:rsid w:val="006864C7"/>
    <w:rsid w:val="00686E8B"/>
    <w:rsid w:val="00687F52"/>
    <w:rsid w:val="00691B02"/>
    <w:rsid w:val="006923BA"/>
    <w:rsid w:val="00692AE0"/>
    <w:rsid w:val="006937A1"/>
    <w:rsid w:val="00695BFB"/>
    <w:rsid w:val="00695F81"/>
    <w:rsid w:val="006964E2"/>
    <w:rsid w:val="00696961"/>
    <w:rsid w:val="006A07DB"/>
    <w:rsid w:val="006A106A"/>
    <w:rsid w:val="006A1D13"/>
    <w:rsid w:val="006A1D4B"/>
    <w:rsid w:val="006A1F93"/>
    <w:rsid w:val="006A25D4"/>
    <w:rsid w:val="006A2B94"/>
    <w:rsid w:val="006A5F30"/>
    <w:rsid w:val="006A68CE"/>
    <w:rsid w:val="006A71D4"/>
    <w:rsid w:val="006B0011"/>
    <w:rsid w:val="006B1391"/>
    <w:rsid w:val="006B278E"/>
    <w:rsid w:val="006B4445"/>
    <w:rsid w:val="006B466D"/>
    <w:rsid w:val="006B4820"/>
    <w:rsid w:val="006B5529"/>
    <w:rsid w:val="006B6448"/>
    <w:rsid w:val="006C1371"/>
    <w:rsid w:val="006C1644"/>
    <w:rsid w:val="006C773F"/>
    <w:rsid w:val="006D097C"/>
    <w:rsid w:val="006D09C3"/>
    <w:rsid w:val="006D1D1E"/>
    <w:rsid w:val="006D3EE4"/>
    <w:rsid w:val="006D69F0"/>
    <w:rsid w:val="006E1DF8"/>
    <w:rsid w:val="006E4793"/>
    <w:rsid w:val="006E56E1"/>
    <w:rsid w:val="006E6328"/>
    <w:rsid w:val="006E7C32"/>
    <w:rsid w:val="006F0F6E"/>
    <w:rsid w:val="006F1912"/>
    <w:rsid w:val="006F243F"/>
    <w:rsid w:val="006F25A4"/>
    <w:rsid w:val="006F2943"/>
    <w:rsid w:val="006F3440"/>
    <w:rsid w:val="006F36A5"/>
    <w:rsid w:val="006F498B"/>
    <w:rsid w:val="007012A0"/>
    <w:rsid w:val="00703279"/>
    <w:rsid w:val="007050F8"/>
    <w:rsid w:val="007063EF"/>
    <w:rsid w:val="007067EA"/>
    <w:rsid w:val="00706EC8"/>
    <w:rsid w:val="007101E6"/>
    <w:rsid w:val="00713331"/>
    <w:rsid w:val="00714B46"/>
    <w:rsid w:val="00716C71"/>
    <w:rsid w:val="007200A4"/>
    <w:rsid w:val="007202B9"/>
    <w:rsid w:val="007204B5"/>
    <w:rsid w:val="007205C9"/>
    <w:rsid w:val="00722BDF"/>
    <w:rsid w:val="007257C1"/>
    <w:rsid w:val="00725BD5"/>
    <w:rsid w:val="00726D8B"/>
    <w:rsid w:val="00727F04"/>
    <w:rsid w:val="00730392"/>
    <w:rsid w:val="00730CA0"/>
    <w:rsid w:val="0073141C"/>
    <w:rsid w:val="00731672"/>
    <w:rsid w:val="007328F0"/>
    <w:rsid w:val="00732F83"/>
    <w:rsid w:val="0073531F"/>
    <w:rsid w:val="007363C5"/>
    <w:rsid w:val="00736B42"/>
    <w:rsid w:val="00737722"/>
    <w:rsid w:val="0074361F"/>
    <w:rsid w:val="007468E8"/>
    <w:rsid w:val="00746BA3"/>
    <w:rsid w:val="00747A0F"/>
    <w:rsid w:val="00752840"/>
    <w:rsid w:val="00753BBD"/>
    <w:rsid w:val="0075695F"/>
    <w:rsid w:val="00756CFC"/>
    <w:rsid w:val="00757865"/>
    <w:rsid w:val="007635C1"/>
    <w:rsid w:val="007662DE"/>
    <w:rsid w:val="007664ED"/>
    <w:rsid w:val="00766CB7"/>
    <w:rsid w:val="00769C53"/>
    <w:rsid w:val="007705AC"/>
    <w:rsid w:val="00771B73"/>
    <w:rsid w:val="00773070"/>
    <w:rsid w:val="00773CC5"/>
    <w:rsid w:val="00774AEB"/>
    <w:rsid w:val="00776F36"/>
    <w:rsid w:val="0077884C"/>
    <w:rsid w:val="00780131"/>
    <w:rsid w:val="00784E81"/>
    <w:rsid w:val="00785078"/>
    <w:rsid w:val="00785568"/>
    <w:rsid w:val="00786D40"/>
    <w:rsid w:val="007872D3"/>
    <w:rsid w:val="007910BF"/>
    <w:rsid w:val="00791E66"/>
    <w:rsid w:val="00792CF5"/>
    <w:rsid w:val="007935E5"/>
    <w:rsid w:val="00793A47"/>
    <w:rsid w:val="007958E7"/>
    <w:rsid w:val="00796CD7"/>
    <w:rsid w:val="00796D94"/>
    <w:rsid w:val="00797FE4"/>
    <w:rsid w:val="007A06D9"/>
    <w:rsid w:val="007A19B7"/>
    <w:rsid w:val="007A5066"/>
    <w:rsid w:val="007A677E"/>
    <w:rsid w:val="007B044A"/>
    <w:rsid w:val="007B04AE"/>
    <w:rsid w:val="007B05FA"/>
    <w:rsid w:val="007B0C59"/>
    <w:rsid w:val="007B11FC"/>
    <w:rsid w:val="007B6927"/>
    <w:rsid w:val="007B7274"/>
    <w:rsid w:val="007C17BD"/>
    <w:rsid w:val="007C23F6"/>
    <w:rsid w:val="007C3520"/>
    <w:rsid w:val="007C555E"/>
    <w:rsid w:val="007C6C47"/>
    <w:rsid w:val="007C774A"/>
    <w:rsid w:val="007C7B17"/>
    <w:rsid w:val="007D14E8"/>
    <w:rsid w:val="007D2E9A"/>
    <w:rsid w:val="007D3868"/>
    <w:rsid w:val="007D5C1B"/>
    <w:rsid w:val="007D6CDA"/>
    <w:rsid w:val="007D7A2B"/>
    <w:rsid w:val="007E0B60"/>
    <w:rsid w:val="007E0F9A"/>
    <w:rsid w:val="007E100E"/>
    <w:rsid w:val="007E1492"/>
    <w:rsid w:val="007E16F3"/>
    <w:rsid w:val="007E1F1A"/>
    <w:rsid w:val="007E2FAD"/>
    <w:rsid w:val="007E3824"/>
    <w:rsid w:val="007E44DC"/>
    <w:rsid w:val="007E71F9"/>
    <w:rsid w:val="007F0F46"/>
    <w:rsid w:val="007F1001"/>
    <w:rsid w:val="007F108A"/>
    <w:rsid w:val="007F14BF"/>
    <w:rsid w:val="007F29E7"/>
    <w:rsid w:val="007F682F"/>
    <w:rsid w:val="007F6A86"/>
    <w:rsid w:val="007F6C30"/>
    <w:rsid w:val="007F6D18"/>
    <w:rsid w:val="007F6E3B"/>
    <w:rsid w:val="007F6F91"/>
    <w:rsid w:val="0080146A"/>
    <w:rsid w:val="008014D7"/>
    <w:rsid w:val="00801615"/>
    <w:rsid w:val="00801D91"/>
    <w:rsid w:val="00803974"/>
    <w:rsid w:val="00803DF9"/>
    <w:rsid w:val="00804141"/>
    <w:rsid w:val="0080574D"/>
    <w:rsid w:val="0080F853"/>
    <w:rsid w:val="0081145B"/>
    <w:rsid w:val="0081390E"/>
    <w:rsid w:val="00820576"/>
    <w:rsid w:val="00820E6B"/>
    <w:rsid w:val="0082122A"/>
    <w:rsid w:val="00822465"/>
    <w:rsid w:val="0082276C"/>
    <w:rsid w:val="008266A4"/>
    <w:rsid w:val="00826C93"/>
    <w:rsid w:val="00831F80"/>
    <w:rsid w:val="00832F95"/>
    <w:rsid w:val="00833A82"/>
    <w:rsid w:val="00833B7D"/>
    <w:rsid w:val="00834363"/>
    <w:rsid w:val="00835A0D"/>
    <w:rsid w:val="0084074B"/>
    <w:rsid w:val="008419E3"/>
    <w:rsid w:val="00842BB5"/>
    <w:rsid w:val="00843CF1"/>
    <w:rsid w:val="008441AE"/>
    <w:rsid w:val="008452A3"/>
    <w:rsid w:val="0084701A"/>
    <w:rsid w:val="00847701"/>
    <w:rsid w:val="00847EA1"/>
    <w:rsid w:val="0084C56A"/>
    <w:rsid w:val="0085135B"/>
    <w:rsid w:val="008514E6"/>
    <w:rsid w:val="00852FE4"/>
    <w:rsid w:val="00854795"/>
    <w:rsid w:val="00857240"/>
    <w:rsid w:val="0086039A"/>
    <w:rsid w:val="0086066A"/>
    <w:rsid w:val="0086392B"/>
    <w:rsid w:val="00863AF2"/>
    <w:rsid w:val="00866BEA"/>
    <w:rsid w:val="0086710D"/>
    <w:rsid w:val="008702B4"/>
    <w:rsid w:val="0087283F"/>
    <w:rsid w:val="00873224"/>
    <w:rsid w:val="00876EA7"/>
    <w:rsid w:val="00877183"/>
    <w:rsid w:val="008811C4"/>
    <w:rsid w:val="00882013"/>
    <w:rsid w:val="008829B3"/>
    <w:rsid w:val="008869FA"/>
    <w:rsid w:val="0088746D"/>
    <w:rsid w:val="0088FA16"/>
    <w:rsid w:val="00891BC7"/>
    <w:rsid w:val="00894708"/>
    <w:rsid w:val="008953B0"/>
    <w:rsid w:val="00895D08"/>
    <w:rsid w:val="00895D9B"/>
    <w:rsid w:val="008970C4"/>
    <w:rsid w:val="008A0F22"/>
    <w:rsid w:val="008A12A2"/>
    <w:rsid w:val="008A1D75"/>
    <w:rsid w:val="008A2A82"/>
    <w:rsid w:val="008A2CE9"/>
    <w:rsid w:val="008A33C5"/>
    <w:rsid w:val="008A38ED"/>
    <w:rsid w:val="008A3938"/>
    <w:rsid w:val="008A4EBA"/>
    <w:rsid w:val="008A5743"/>
    <w:rsid w:val="008A5A18"/>
    <w:rsid w:val="008A74F0"/>
    <w:rsid w:val="008B13A8"/>
    <w:rsid w:val="008B2E05"/>
    <w:rsid w:val="008B38F4"/>
    <w:rsid w:val="008B7164"/>
    <w:rsid w:val="008B77A9"/>
    <w:rsid w:val="008C0FCA"/>
    <w:rsid w:val="008C19E9"/>
    <w:rsid w:val="008C3182"/>
    <w:rsid w:val="008C49A9"/>
    <w:rsid w:val="008C5FB1"/>
    <w:rsid w:val="008D097D"/>
    <w:rsid w:val="008D24FF"/>
    <w:rsid w:val="008D2A5A"/>
    <w:rsid w:val="008D2B15"/>
    <w:rsid w:val="008D2DD9"/>
    <w:rsid w:val="008D40AA"/>
    <w:rsid w:val="008D4F09"/>
    <w:rsid w:val="008D5C67"/>
    <w:rsid w:val="008D6454"/>
    <w:rsid w:val="008D752B"/>
    <w:rsid w:val="008D7758"/>
    <w:rsid w:val="008D79B2"/>
    <w:rsid w:val="008E2D09"/>
    <w:rsid w:val="008E4A99"/>
    <w:rsid w:val="008E52B0"/>
    <w:rsid w:val="008E5B3C"/>
    <w:rsid w:val="008E7941"/>
    <w:rsid w:val="008F0708"/>
    <w:rsid w:val="008F08C5"/>
    <w:rsid w:val="008F1A82"/>
    <w:rsid w:val="008F3D80"/>
    <w:rsid w:val="008F4BDF"/>
    <w:rsid w:val="008F7E46"/>
    <w:rsid w:val="0090007A"/>
    <w:rsid w:val="009007F7"/>
    <w:rsid w:val="009022F9"/>
    <w:rsid w:val="009028E8"/>
    <w:rsid w:val="0090603D"/>
    <w:rsid w:val="00906A52"/>
    <w:rsid w:val="00906F36"/>
    <w:rsid w:val="00907C16"/>
    <w:rsid w:val="00911833"/>
    <w:rsid w:val="00913278"/>
    <w:rsid w:val="00914102"/>
    <w:rsid w:val="0091573D"/>
    <w:rsid w:val="009169FF"/>
    <w:rsid w:val="009172EC"/>
    <w:rsid w:val="00917DA4"/>
    <w:rsid w:val="00920277"/>
    <w:rsid w:val="00921C34"/>
    <w:rsid w:val="009241FC"/>
    <w:rsid w:val="00925427"/>
    <w:rsid w:val="009256D6"/>
    <w:rsid w:val="00925C08"/>
    <w:rsid w:val="009264FF"/>
    <w:rsid w:val="009266CD"/>
    <w:rsid w:val="00927444"/>
    <w:rsid w:val="00927ABA"/>
    <w:rsid w:val="0093062D"/>
    <w:rsid w:val="009306CE"/>
    <w:rsid w:val="009307FB"/>
    <w:rsid w:val="00930911"/>
    <w:rsid w:val="00931A53"/>
    <w:rsid w:val="009335F3"/>
    <w:rsid w:val="009336AC"/>
    <w:rsid w:val="009353C1"/>
    <w:rsid w:val="00935AA9"/>
    <w:rsid w:val="00935BC3"/>
    <w:rsid w:val="00936914"/>
    <w:rsid w:val="00936ABC"/>
    <w:rsid w:val="009370AD"/>
    <w:rsid w:val="00937D2C"/>
    <w:rsid w:val="009403D8"/>
    <w:rsid w:val="00942D53"/>
    <w:rsid w:val="009446E7"/>
    <w:rsid w:val="0094682F"/>
    <w:rsid w:val="009469F7"/>
    <w:rsid w:val="00950EBD"/>
    <w:rsid w:val="00953464"/>
    <w:rsid w:val="0095387D"/>
    <w:rsid w:val="00954AA2"/>
    <w:rsid w:val="0095723F"/>
    <w:rsid w:val="00957D26"/>
    <w:rsid w:val="0096086F"/>
    <w:rsid w:val="00960DBF"/>
    <w:rsid w:val="00963774"/>
    <w:rsid w:val="009639D2"/>
    <w:rsid w:val="00964FC2"/>
    <w:rsid w:val="00965630"/>
    <w:rsid w:val="0096584B"/>
    <w:rsid w:val="00965F1D"/>
    <w:rsid w:val="0096624A"/>
    <w:rsid w:val="00966A5B"/>
    <w:rsid w:val="00973EA8"/>
    <w:rsid w:val="00975838"/>
    <w:rsid w:val="00975D08"/>
    <w:rsid w:val="009774A5"/>
    <w:rsid w:val="00977A02"/>
    <w:rsid w:val="00980C20"/>
    <w:rsid w:val="00981C0A"/>
    <w:rsid w:val="00982FE5"/>
    <w:rsid w:val="00983387"/>
    <w:rsid w:val="00983BEF"/>
    <w:rsid w:val="00983D3D"/>
    <w:rsid w:val="00990A80"/>
    <w:rsid w:val="0099294E"/>
    <w:rsid w:val="00992994"/>
    <w:rsid w:val="00992AE5"/>
    <w:rsid w:val="00992EDF"/>
    <w:rsid w:val="00993C3C"/>
    <w:rsid w:val="009949B8"/>
    <w:rsid w:val="00995959"/>
    <w:rsid w:val="00996172"/>
    <w:rsid w:val="00996478"/>
    <w:rsid w:val="00996564"/>
    <w:rsid w:val="009A2B12"/>
    <w:rsid w:val="009A472F"/>
    <w:rsid w:val="009A52C2"/>
    <w:rsid w:val="009A5703"/>
    <w:rsid w:val="009B0EB0"/>
    <w:rsid w:val="009B1D10"/>
    <w:rsid w:val="009B407D"/>
    <w:rsid w:val="009B5BDB"/>
    <w:rsid w:val="009B6B8F"/>
    <w:rsid w:val="009B7948"/>
    <w:rsid w:val="009C2583"/>
    <w:rsid w:val="009C3692"/>
    <w:rsid w:val="009C37AC"/>
    <w:rsid w:val="009C41CE"/>
    <w:rsid w:val="009C5029"/>
    <w:rsid w:val="009C504A"/>
    <w:rsid w:val="009C6763"/>
    <w:rsid w:val="009D081B"/>
    <w:rsid w:val="009D1074"/>
    <w:rsid w:val="009D119E"/>
    <w:rsid w:val="009D1C6D"/>
    <w:rsid w:val="009D2D2D"/>
    <w:rsid w:val="009D511E"/>
    <w:rsid w:val="009D53BA"/>
    <w:rsid w:val="009D5B79"/>
    <w:rsid w:val="009D6361"/>
    <w:rsid w:val="009D65B8"/>
    <w:rsid w:val="009D7E0D"/>
    <w:rsid w:val="009E2A2F"/>
    <w:rsid w:val="009E4FB2"/>
    <w:rsid w:val="009E503E"/>
    <w:rsid w:val="009E541A"/>
    <w:rsid w:val="009E61F7"/>
    <w:rsid w:val="009E665B"/>
    <w:rsid w:val="009EDFD1"/>
    <w:rsid w:val="009F0484"/>
    <w:rsid w:val="009F076E"/>
    <w:rsid w:val="009F1235"/>
    <w:rsid w:val="009F12FA"/>
    <w:rsid w:val="009F3231"/>
    <w:rsid w:val="009F5F97"/>
    <w:rsid w:val="009F5FA2"/>
    <w:rsid w:val="009F610F"/>
    <w:rsid w:val="009F7A69"/>
    <w:rsid w:val="00A009C6"/>
    <w:rsid w:val="00A014C0"/>
    <w:rsid w:val="00A01A61"/>
    <w:rsid w:val="00A0237C"/>
    <w:rsid w:val="00A029F4"/>
    <w:rsid w:val="00A032BE"/>
    <w:rsid w:val="00A03A6E"/>
    <w:rsid w:val="00A051CF"/>
    <w:rsid w:val="00A05440"/>
    <w:rsid w:val="00A064DD"/>
    <w:rsid w:val="00A07B48"/>
    <w:rsid w:val="00A101EB"/>
    <w:rsid w:val="00A12484"/>
    <w:rsid w:val="00A12E7D"/>
    <w:rsid w:val="00A13A6D"/>
    <w:rsid w:val="00A16AC3"/>
    <w:rsid w:val="00A1C2F4"/>
    <w:rsid w:val="00A238BA"/>
    <w:rsid w:val="00A23F29"/>
    <w:rsid w:val="00A24275"/>
    <w:rsid w:val="00A24DCB"/>
    <w:rsid w:val="00A26936"/>
    <w:rsid w:val="00A3099F"/>
    <w:rsid w:val="00A3273D"/>
    <w:rsid w:val="00A33E64"/>
    <w:rsid w:val="00A34A77"/>
    <w:rsid w:val="00A367AA"/>
    <w:rsid w:val="00A368FB"/>
    <w:rsid w:val="00A42250"/>
    <w:rsid w:val="00A44182"/>
    <w:rsid w:val="00A452E6"/>
    <w:rsid w:val="00A457D4"/>
    <w:rsid w:val="00A46F95"/>
    <w:rsid w:val="00A4DC96"/>
    <w:rsid w:val="00A524B1"/>
    <w:rsid w:val="00A52824"/>
    <w:rsid w:val="00A52D9D"/>
    <w:rsid w:val="00A545FA"/>
    <w:rsid w:val="00A54DB8"/>
    <w:rsid w:val="00A56D37"/>
    <w:rsid w:val="00A56DB5"/>
    <w:rsid w:val="00A57467"/>
    <w:rsid w:val="00A57A9D"/>
    <w:rsid w:val="00A57BFC"/>
    <w:rsid w:val="00A57C16"/>
    <w:rsid w:val="00A60BEC"/>
    <w:rsid w:val="00A60DBE"/>
    <w:rsid w:val="00A63461"/>
    <w:rsid w:val="00A635CB"/>
    <w:rsid w:val="00A63CC8"/>
    <w:rsid w:val="00A653DC"/>
    <w:rsid w:val="00A6631D"/>
    <w:rsid w:val="00A66F69"/>
    <w:rsid w:val="00A6F597"/>
    <w:rsid w:val="00A70416"/>
    <w:rsid w:val="00A71B96"/>
    <w:rsid w:val="00A74517"/>
    <w:rsid w:val="00A74AD2"/>
    <w:rsid w:val="00A74D91"/>
    <w:rsid w:val="00A76B0A"/>
    <w:rsid w:val="00A76DA8"/>
    <w:rsid w:val="00A817D3"/>
    <w:rsid w:val="00A81BEA"/>
    <w:rsid w:val="00A82406"/>
    <w:rsid w:val="00A82687"/>
    <w:rsid w:val="00A829FC"/>
    <w:rsid w:val="00A82D29"/>
    <w:rsid w:val="00A82E2F"/>
    <w:rsid w:val="00A832B9"/>
    <w:rsid w:val="00A83C4E"/>
    <w:rsid w:val="00A84B49"/>
    <w:rsid w:val="00A85C85"/>
    <w:rsid w:val="00A86449"/>
    <w:rsid w:val="00A86D97"/>
    <w:rsid w:val="00A87D11"/>
    <w:rsid w:val="00A910BF"/>
    <w:rsid w:val="00A94FCA"/>
    <w:rsid w:val="00A9673F"/>
    <w:rsid w:val="00A97F5C"/>
    <w:rsid w:val="00AA059C"/>
    <w:rsid w:val="00AA0A4D"/>
    <w:rsid w:val="00AA157E"/>
    <w:rsid w:val="00AA4E75"/>
    <w:rsid w:val="00AA7F7D"/>
    <w:rsid w:val="00AB0AC7"/>
    <w:rsid w:val="00AB1A24"/>
    <w:rsid w:val="00AB27FC"/>
    <w:rsid w:val="00AB433B"/>
    <w:rsid w:val="00AB4F35"/>
    <w:rsid w:val="00AB5DE3"/>
    <w:rsid w:val="00AB6AA6"/>
    <w:rsid w:val="00AB6AAB"/>
    <w:rsid w:val="00AB7E27"/>
    <w:rsid w:val="00AC0BF3"/>
    <w:rsid w:val="00AC2CD3"/>
    <w:rsid w:val="00AC382A"/>
    <w:rsid w:val="00AC40B1"/>
    <w:rsid w:val="00AC684D"/>
    <w:rsid w:val="00AC705A"/>
    <w:rsid w:val="00AD1295"/>
    <w:rsid w:val="00AD129A"/>
    <w:rsid w:val="00AD5F76"/>
    <w:rsid w:val="00AD70F5"/>
    <w:rsid w:val="00AD7363"/>
    <w:rsid w:val="00AE0218"/>
    <w:rsid w:val="00AE0534"/>
    <w:rsid w:val="00AE082C"/>
    <w:rsid w:val="00AE09BF"/>
    <w:rsid w:val="00AE1E91"/>
    <w:rsid w:val="00AE295A"/>
    <w:rsid w:val="00AE4415"/>
    <w:rsid w:val="00AE479B"/>
    <w:rsid w:val="00AE482C"/>
    <w:rsid w:val="00AE5B56"/>
    <w:rsid w:val="00AE7535"/>
    <w:rsid w:val="00AF0558"/>
    <w:rsid w:val="00AF111C"/>
    <w:rsid w:val="00AF1B7E"/>
    <w:rsid w:val="00AF23CD"/>
    <w:rsid w:val="00AF283E"/>
    <w:rsid w:val="00AF3767"/>
    <w:rsid w:val="00AF3EFD"/>
    <w:rsid w:val="00AF6072"/>
    <w:rsid w:val="00AF769A"/>
    <w:rsid w:val="00B00381"/>
    <w:rsid w:val="00B0098F"/>
    <w:rsid w:val="00B00FEE"/>
    <w:rsid w:val="00B03604"/>
    <w:rsid w:val="00B04530"/>
    <w:rsid w:val="00B06059"/>
    <w:rsid w:val="00B06287"/>
    <w:rsid w:val="00B06CA3"/>
    <w:rsid w:val="00B074A5"/>
    <w:rsid w:val="00B10248"/>
    <w:rsid w:val="00B105BE"/>
    <w:rsid w:val="00B127F2"/>
    <w:rsid w:val="00B12F9C"/>
    <w:rsid w:val="00B13618"/>
    <w:rsid w:val="00B1558C"/>
    <w:rsid w:val="00B16B53"/>
    <w:rsid w:val="00B1728E"/>
    <w:rsid w:val="00B173F5"/>
    <w:rsid w:val="00B174EA"/>
    <w:rsid w:val="00B23605"/>
    <w:rsid w:val="00B2432D"/>
    <w:rsid w:val="00B26A52"/>
    <w:rsid w:val="00B277E6"/>
    <w:rsid w:val="00B27925"/>
    <w:rsid w:val="00B27B5E"/>
    <w:rsid w:val="00B27E82"/>
    <w:rsid w:val="00B3002B"/>
    <w:rsid w:val="00B30B53"/>
    <w:rsid w:val="00B310E1"/>
    <w:rsid w:val="00B31D7D"/>
    <w:rsid w:val="00B32C19"/>
    <w:rsid w:val="00B336F6"/>
    <w:rsid w:val="00B35B53"/>
    <w:rsid w:val="00B35FC7"/>
    <w:rsid w:val="00B40261"/>
    <w:rsid w:val="00B4121D"/>
    <w:rsid w:val="00B413B4"/>
    <w:rsid w:val="00B4147C"/>
    <w:rsid w:val="00B42B27"/>
    <w:rsid w:val="00B42CB2"/>
    <w:rsid w:val="00B43422"/>
    <w:rsid w:val="00B45A3A"/>
    <w:rsid w:val="00B46A9B"/>
    <w:rsid w:val="00B47925"/>
    <w:rsid w:val="00B47FD3"/>
    <w:rsid w:val="00B50CE8"/>
    <w:rsid w:val="00B51DBB"/>
    <w:rsid w:val="00B568EA"/>
    <w:rsid w:val="00B56A18"/>
    <w:rsid w:val="00B571A5"/>
    <w:rsid w:val="00B57A2F"/>
    <w:rsid w:val="00B6011B"/>
    <w:rsid w:val="00B614FE"/>
    <w:rsid w:val="00B61CA8"/>
    <w:rsid w:val="00B6219A"/>
    <w:rsid w:val="00B62D29"/>
    <w:rsid w:val="00B62F40"/>
    <w:rsid w:val="00B63A49"/>
    <w:rsid w:val="00B63C08"/>
    <w:rsid w:val="00B645BC"/>
    <w:rsid w:val="00B64E8F"/>
    <w:rsid w:val="00B67FBB"/>
    <w:rsid w:val="00B703AC"/>
    <w:rsid w:val="00B71624"/>
    <w:rsid w:val="00B71A76"/>
    <w:rsid w:val="00B71FCA"/>
    <w:rsid w:val="00B734DF"/>
    <w:rsid w:val="00B77CDC"/>
    <w:rsid w:val="00B81FD9"/>
    <w:rsid w:val="00B82BC5"/>
    <w:rsid w:val="00B83621"/>
    <w:rsid w:val="00B8387D"/>
    <w:rsid w:val="00B85E28"/>
    <w:rsid w:val="00B888F9"/>
    <w:rsid w:val="00B902A6"/>
    <w:rsid w:val="00B903CF"/>
    <w:rsid w:val="00B93C06"/>
    <w:rsid w:val="00B943E3"/>
    <w:rsid w:val="00B95317"/>
    <w:rsid w:val="00B953BC"/>
    <w:rsid w:val="00B95666"/>
    <w:rsid w:val="00B961D7"/>
    <w:rsid w:val="00BA08F8"/>
    <w:rsid w:val="00BA1A89"/>
    <w:rsid w:val="00BA341D"/>
    <w:rsid w:val="00BA451B"/>
    <w:rsid w:val="00BA45F7"/>
    <w:rsid w:val="00BA75B6"/>
    <w:rsid w:val="00BB1E6A"/>
    <w:rsid w:val="00BB6657"/>
    <w:rsid w:val="00BB6C46"/>
    <w:rsid w:val="00BB7CA4"/>
    <w:rsid w:val="00BC074C"/>
    <w:rsid w:val="00BC087F"/>
    <w:rsid w:val="00BC0A3F"/>
    <w:rsid w:val="00BC373A"/>
    <w:rsid w:val="00BC3DC2"/>
    <w:rsid w:val="00BC55A2"/>
    <w:rsid w:val="00BC6045"/>
    <w:rsid w:val="00BC6383"/>
    <w:rsid w:val="00BC65FD"/>
    <w:rsid w:val="00BD2962"/>
    <w:rsid w:val="00BD35FF"/>
    <w:rsid w:val="00BD500C"/>
    <w:rsid w:val="00BD608F"/>
    <w:rsid w:val="00BD6EB4"/>
    <w:rsid w:val="00BD7CBD"/>
    <w:rsid w:val="00BE0646"/>
    <w:rsid w:val="00BE0A3E"/>
    <w:rsid w:val="00BE210D"/>
    <w:rsid w:val="00BE277F"/>
    <w:rsid w:val="00BE3723"/>
    <w:rsid w:val="00BE3A00"/>
    <w:rsid w:val="00BE3CF7"/>
    <w:rsid w:val="00BE4159"/>
    <w:rsid w:val="00BE6171"/>
    <w:rsid w:val="00BE6934"/>
    <w:rsid w:val="00BE8210"/>
    <w:rsid w:val="00BF0189"/>
    <w:rsid w:val="00BF03CD"/>
    <w:rsid w:val="00BF0AE2"/>
    <w:rsid w:val="00BF17D0"/>
    <w:rsid w:val="00BF25FD"/>
    <w:rsid w:val="00BF2C3B"/>
    <w:rsid w:val="00BF43A7"/>
    <w:rsid w:val="00BF5CB0"/>
    <w:rsid w:val="00BF7BAA"/>
    <w:rsid w:val="00C00D8C"/>
    <w:rsid w:val="00C0165C"/>
    <w:rsid w:val="00C02B20"/>
    <w:rsid w:val="00C04238"/>
    <w:rsid w:val="00C04CC3"/>
    <w:rsid w:val="00C05CF4"/>
    <w:rsid w:val="00C066F1"/>
    <w:rsid w:val="00C12D59"/>
    <w:rsid w:val="00C14BA0"/>
    <w:rsid w:val="00C162C4"/>
    <w:rsid w:val="00C2056D"/>
    <w:rsid w:val="00C25172"/>
    <w:rsid w:val="00C25343"/>
    <w:rsid w:val="00C30E38"/>
    <w:rsid w:val="00C31A0C"/>
    <w:rsid w:val="00C34994"/>
    <w:rsid w:val="00C364DA"/>
    <w:rsid w:val="00C3744A"/>
    <w:rsid w:val="00C3F4ED"/>
    <w:rsid w:val="00C42E72"/>
    <w:rsid w:val="00C4697B"/>
    <w:rsid w:val="00C47E49"/>
    <w:rsid w:val="00C50293"/>
    <w:rsid w:val="00C51B16"/>
    <w:rsid w:val="00C547DE"/>
    <w:rsid w:val="00C563E5"/>
    <w:rsid w:val="00C5641C"/>
    <w:rsid w:val="00C6152A"/>
    <w:rsid w:val="00C61B72"/>
    <w:rsid w:val="00C639B2"/>
    <w:rsid w:val="00C664B6"/>
    <w:rsid w:val="00C66A64"/>
    <w:rsid w:val="00C705B5"/>
    <w:rsid w:val="00C708F5"/>
    <w:rsid w:val="00C71081"/>
    <w:rsid w:val="00C71F15"/>
    <w:rsid w:val="00C74694"/>
    <w:rsid w:val="00C75CCA"/>
    <w:rsid w:val="00C76805"/>
    <w:rsid w:val="00C7788E"/>
    <w:rsid w:val="00C80C03"/>
    <w:rsid w:val="00C82A69"/>
    <w:rsid w:val="00C8329D"/>
    <w:rsid w:val="00C83C9A"/>
    <w:rsid w:val="00C83F74"/>
    <w:rsid w:val="00C84B1E"/>
    <w:rsid w:val="00C86E9A"/>
    <w:rsid w:val="00C87343"/>
    <w:rsid w:val="00C87FEE"/>
    <w:rsid w:val="00C8F02E"/>
    <w:rsid w:val="00C92B12"/>
    <w:rsid w:val="00C93841"/>
    <w:rsid w:val="00C93C65"/>
    <w:rsid w:val="00C94B8A"/>
    <w:rsid w:val="00C973B0"/>
    <w:rsid w:val="00CA1A9E"/>
    <w:rsid w:val="00CA1D95"/>
    <w:rsid w:val="00CA49F5"/>
    <w:rsid w:val="00CA4A72"/>
    <w:rsid w:val="00CA580C"/>
    <w:rsid w:val="00CA653C"/>
    <w:rsid w:val="00CA6C75"/>
    <w:rsid w:val="00CB3FA0"/>
    <w:rsid w:val="00CB4303"/>
    <w:rsid w:val="00CB4BE6"/>
    <w:rsid w:val="00CB6E49"/>
    <w:rsid w:val="00CC082A"/>
    <w:rsid w:val="00CC2B1A"/>
    <w:rsid w:val="00CC3CD6"/>
    <w:rsid w:val="00CC56E3"/>
    <w:rsid w:val="00CC5946"/>
    <w:rsid w:val="00CC6D72"/>
    <w:rsid w:val="00CC6EF4"/>
    <w:rsid w:val="00CC6F7F"/>
    <w:rsid w:val="00CD0B5A"/>
    <w:rsid w:val="00CD17F1"/>
    <w:rsid w:val="00CD1F50"/>
    <w:rsid w:val="00CD404A"/>
    <w:rsid w:val="00CD4246"/>
    <w:rsid w:val="00CD5949"/>
    <w:rsid w:val="00CD6494"/>
    <w:rsid w:val="00CD667C"/>
    <w:rsid w:val="00CE07B3"/>
    <w:rsid w:val="00CE0E51"/>
    <w:rsid w:val="00CE2C4D"/>
    <w:rsid w:val="00CE367E"/>
    <w:rsid w:val="00CE3D41"/>
    <w:rsid w:val="00CE3F96"/>
    <w:rsid w:val="00CE4901"/>
    <w:rsid w:val="00CE4CD9"/>
    <w:rsid w:val="00CE59B7"/>
    <w:rsid w:val="00CE5C03"/>
    <w:rsid w:val="00CE69A0"/>
    <w:rsid w:val="00CE70BF"/>
    <w:rsid w:val="00CE74F6"/>
    <w:rsid w:val="00CF0870"/>
    <w:rsid w:val="00CF3024"/>
    <w:rsid w:val="00CF394B"/>
    <w:rsid w:val="00CF3C9B"/>
    <w:rsid w:val="00CF62E2"/>
    <w:rsid w:val="00CF6BFA"/>
    <w:rsid w:val="00CF7F57"/>
    <w:rsid w:val="00CFAA39"/>
    <w:rsid w:val="00D00922"/>
    <w:rsid w:val="00D01300"/>
    <w:rsid w:val="00D01AEA"/>
    <w:rsid w:val="00D02D2D"/>
    <w:rsid w:val="00D02E71"/>
    <w:rsid w:val="00D102CA"/>
    <w:rsid w:val="00D1108E"/>
    <w:rsid w:val="00D12365"/>
    <w:rsid w:val="00D12BCF"/>
    <w:rsid w:val="00D13943"/>
    <w:rsid w:val="00D20386"/>
    <w:rsid w:val="00D21FF5"/>
    <w:rsid w:val="00D22D3F"/>
    <w:rsid w:val="00D243D1"/>
    <w:rsid w:val="00D25CE1"/>
    <w:rsid w:val="00D31ED5"/>
    <w:rsid w:val="00D34264"/>
    <w:rsid w:val="00D34BB9"/>
    <w:rsid w:val="00D36CAE"/>
    <w:rsid w:val="00D40D4C"/>
    <w:rsid w:val="00D41D63"/>
    <w:rsid w:val="00D425BE"/>
    <w:rsid w:val="00D42C40"/>
    <w:rsid w:val="00D42D3D"/>
    <w:rsid w:val="00D43083"/>
    <w:rsid w:val="00D44184"/>
    <w:rsid w:val="00D44407"/>
    <w:rsid w:val="00D4557E"/>
    <w:rsid w:val="00D4668F"/>
    <w:rsid w:val="00D47BD7"/>
    <w:rsid w:val="00D51B5E"/>
    <w:rsid w:val="00D54599"/>
    <w:rsid w:val="00D55FB7"/>
    <w:rsid w:val="00D56522"/>
    <w:rsid w:val="00D56C08"/>
    <w:rsid w:val="00D605FA"/>
    <w:rsid w:val="00D614F1"/>
    <w:rsid w:val="00D61B91"/>
    <w:rsid w:val="00D61BD7"/>
    <w:rsid w:val="00D62349"/>
    <w:rsid w:val="00D63A38"/>
    <w:rsid w:val="00D657C6"/>
    <w:rsid w:val="00D65D6D"/>
    <w:rsid w:val="00D65FBD"/>
    <w:rsid w:val="00D66EC9"/>
    <w:rsid w:val="00D71014"/>
    <w:rsid w:val="00D744A0"/>
    <w:rsid w:val="00D750D5"/>
    <w:rsid w:val="00D75F96"/>
    <w:rsid w:val="00D7735D"/>
    <w:rsid w:val="00D83FEE"/>
    <w:rsid w:val="00D85E52"/>
    <w:rsid w:val="00D87152"/>
    <w:rsid w:val="00D9500D"/>
    <w:rsid w:val="00D95CC8"/>
    <w:rsid w:val="00D95F70"/>
    <w:rsid w:val="00D96B2D"/>
    <w:rsid w:val="00D96B30"/>
    <w:rsid w:val="00DA06D9"/>
    <w:rsid w:val="00DA2929"/>
    <w:rsid w:val="00DA29FD"/>
    <w:rsid w:val="00DA40DE"/>
    <w:rsid w:val="00DA5514"/>
    <w:rsid w:val="00DA7A05"/>
    <w:rsid w:val="00DA9E6E"/>
    <w:rsid w:val="00DB2229"/>
    <w:rsid w:val="00DB33E8"/>
    <w:rsid w:val="00DB65A3"/>
    <w:rsid w:val="00DB68A3"/>
    <w:rsid w:val="00DB777C"/>
    <w:rsid w:val="00DB7923"/>
    <w:rsid w:val="00DC2E80"/>
    <w:rsid w:val="00DC535C"/>
    <w:rsid w:val="00DC6866"/>
    <w:rsid w:val="00DD0E0C"/>
    <w:rsid w:val="00DD2A00"/>
    <w:rsid w:val="00DD4CDF"/>
    <w:rsid w:val="00DD76F1"/>
    <w:rsid w:val="00DE1F96"/>
    <w:rsid w:val="00DE2A2D"/>
    <w:rsid w:val="00DEE2B2"/>
    <w:rsid w:val="00DF0056"/>
    <w:rsid w:val="00DF2F22"/>
    <w:rsid w:val="00DF586D"/>
    <w:rsid w:val="00DF6EC2"/>
    <w:rsid w:val="00DF7E73"/>
    <w:rsid w:val="00E00E81"/>
    <w:rsid w:val="00E02A59"/>
    <w:rsid w:val="00E02BC8"/>
    <w:rsid w:val="00E0302D"/>
    <w:rsid w:val="00E04731"/>
    <w:rsid w:val="00E04C4D"/>
    <w:rsid w:val="00E05C49"/>
    <w:rsid w:val="00E063C4"/>
    <w:rsid w:val="00E0651E"/>
    <w:rsid w:val="00E1174A"/>
    <w:rsid w:val="00E12B19"/>
    <w:rsid w:val="00E12EDA"/>
    <w:rsid w:val="00E13549"/>
    <w:rsid w:val="00E1454A"/>
    <w:rsid w:val="00E14554"/>
    <w:rsid w:val="00E203B6"/>
    <w:rsid w:val="00E208AC"/>
    <w:rsid w:val="00E209F9"/>
    <w:rsid w:val="00E20F94"/>
    <w:rsid w:val="00E26742"/>
    <w:rsid w:val="00E26841"/>
    <w:rsid w:val="00E30376"/>
    <w:rsid w:val="00E318F7"/>
    <w:rsid w:val="00E3489F"/>
    <w:rsid w:val="00E43161"/>
    <w:rsid w:val="00E43237"/>
    <w:rsid w:val="00E43BB2"/>
    <w:rsid w:val="00E44BC5"/>
    <w:rsid w:val="00E4532D"/>
    <w:rsid w:val="00E5417B"/>
    <w:rsid w:val="00E544AB"/>
    <w:rsid w:val="00E5781C"/>
    <w:rsid w:val="00E61FA4"/>
    <w:rsid w:val="00E6520B"/>
    <w:rsid w:val="00E6678F"/>
    <w:rsid w:val="00E70170"/>
    <w:rsid w:val="00E70736"/>
    <w:rsid w:val="00E70DE1"/>
    <w:rsid w:val="00E71BE8"/>
    <w:rsid w:val="00E74F93"/>
    <w:rsid w:val="00E75009"/>
    <w:rsid w:val="00E753A0"/>
    <w:rsid w:val="00E77734"/>
    <w:rsid w:val="00E779A0"/>
    <w:rsid w:val="00E813DD"/>
    <w:rsid w:val="00E8178A"/>
    <w:rsid w:val="00E82DD2"/>
    <w:rsid w:val="00E84D62"/>
    <w:rsid w:val="00E90005"/>
    <w:rsid w:val="00E944AD"/>
    <w:rsid w:val="00E95480"/>
    <w:rsid w:val="00E959E3"/>
    <w:rsid w:val="00E95B6F"/>
    <w:rsid w:val="00EA6916"/>
    <w:rsid w:val="00EA71A0"/>
    <w:rsid w:val="00EB07A7"/>
    <w:rsid w:val="00EB0A1B"/>
    <w:rsid w:val="00EB1510"/>
    <w:rsid w:val="00EB244A"/>
    <w:rsid w:val="00EB34CC"/>
    <w:rsid w:val="00EB4671"/>
    <w:rsid w:val="00EB509F"/>
    <w:rsid w:val="00EB66C5"/>
    <w:rsid w:val="00EB7A1D"/>
    <w:rsid w:val="00EB9C1F"/>
    <w:rsid w:val="00EC08C0"/>
    <w:rsid w:val="00EC1167"/>
    <w:rsid w:val="00EC2921"/>
    <w:rsid w:val="00EC2C2A"/>
    <w:rsid w:val="00EC3890"/>
    <w:rsid w:val="00EC3F36"/>
    <w:rsid w:val="00EC6AC3"/>
    <w:rsid w:val="00ED0BEC"/>
    <w:rsid w:val="00ED0FCB"/>
    <w:rsid w:val="00ED4BA2"/>
    <w:rsid w:val="00ED659E"/>
    <w:rsid w:val="00ED6F70"/>
    <w:rsid w:val="00ED71BF"/>
    <w:rsid w:val="00ED789C"/>
    <w:rsid w:val="00ED7C7D"/>
    <w:rsid w:val="00ED9DD2"/>
    <w:rsid w:val="00EE01D9"/>
    <w:rsid w:val="00EE1C4D"/>
    <w:rsid w:val="00EE3113"/>
    <w:rsid w:val="00EE40C0"/>
    <w:rsid w:val="00EE4288"/>
    <w:rsid w:val="00EE477C"/>
    <w:rsid w:val="00EE65E2"/>
    <w:rsid w:val="00EE695D"/>
    <w:rsid w:val="00EF0BB6"/>
    <w:rsid w:val="00EF0D5A"/>
    <w:rsid w:val="00EF1976"/>
    <w:rsid w:val="00EF21D2"/>
    <w:rsid w:val="00EF3148"/>
    <w:rsid w:val="00EF4F99"/>
    <w:rsid w:val="00EF64B2"/>
    <w:rsid w:val="00EF7C87"/>
    <w:rsid w:val="00F00BB7"/>
    <w:rsid w:val="00F0171C"/>
    <w:rsid w:val="00F01DBD"/>
    <w:rsid w:val="00F02280"/>
    <w:rsid w:val="00F03C21"/>
    <w:rsid w:val="00F054F3"/>
    <w:rsid w:val="00F115C8"/>
    <w:rsid w:val="00F11EF4"/>
    <w:rsid w:val="00F12023"/>
    <w:rsid w:val="00F13747"/>
    <w:rsid w:val="00F160CF"/>
    <w:rsid w:val="00F17740"/>
    <w:rsid w:val="00F2092D"/>
    <w:rsid w:val="00F22FE2"/>
    <w:rsid w:val="00F247BB"/>
    <w:rsid w:val="00F24E23"/>
    <w:rsid w:val="00F2581F"/>
    <w:rsid w:val="00F258B6"/>
    <w:rsid w:val="00F26054"/>
    <w:rsid w:val="00F2645F"/>
    <w:rsid w:val="00F278BF"/>
    <w:rsid w:val="00F32C37"/>
    <w:rsid w:val="00F34848"/>
    <w:rsid w:val="00F36344"/>
    <w:rsid w:val="00F36482"/>
    <w:rsid w:val="00F377DB"/>
    <w:rsid w:val="00F3791E"/>
    <w:rsid w:val="00F40222"/>
    <w:rsid w:val="00F42EA5"/>
    <w:rsid w:val="00F42FC8"/>
    <w:rsid w:val="00F459C1"/>
    <w:rsid w:val="00F45C77"/>
    <w:rsid w:val="00F460C8"/>
    <w:rsid w:val="00F46E5E"/>
    <w:rsid w:val="00F47FB8"/>
    <w:rsid w:val="00F50270"/>
    <w:rsid w:val="00F5035D"/>
    <w:rsid w:val="00F50D0D"/>
    <w:rsid w:val="00F542DB"/>
    <w:rsid w:val="00F5621D"/>
    <w:rsid w:val="00F611A4"/>
    <w:rsid w:val="00F6145A"/>
    <w:rsid w:val="00F61A07"/>
    <w:rsid w:val="00F61FF2"/>
    <w:rsid w:val="00F62DF2"/>
    <w:rsid w:val="00F645BE"/>
    <w:rsid w:val="00F66879"/>
    <w:rsid w:val="00F66E2B"/>
    <w:rsid w:val="00F67362"/>
    <w:rsid w:val="00F70920"/>
    <w:rsid w:val="00F73EAF"/>
    <w:rsid w:val="00F7585E"/>
    <w:rsid w:val="00F76C43"/>
    <w:rsid w:val="00F81FEB"/>
    <w:rsid w:val="00F82349"/>
    <w:rsid w:val="00F82F80"/>
    <w:rsid w:val="00F83A3E"/>
    <w:rsid w:val="00F851AF"/>
    <w:rsid w:val="00F85231"/>
    <w:rsid w:val="00F85455"/>
    <w:rsid w:val="00F85BA3"/>
    <w:rsid w:val="00F86B2F"/>
    <w:rsid w:val="00F87A6C"/>
    <w:rsid w:val="00F91169"/>
    <w:rsid w:val="00F912BF"/>
    <w:rsid w:val="00F91481"/>
    <w:rsid w:val="00F92361"/>
    <w:rsid w:val="00F92990"/>
    <w:rsid w:val="00F93A85"/>
    <w:rsid w:val="00F93F56"/>
    <w:rsid w:val="00F94489"/>
    <w:rsid w:val="00F950C4"/>
    <w:rsid w:val="00F95FFD"/>
    <w:rsid w:val="00F96CDA"/>
    <w:rsid w:val="00F97C01"/>
    <w:rsid w:val="00FA0460"/>
    <w:rsid w:val="00FA1365"/>
    <w:rsid w:val="00FA2012"/>
    <w:rsid w:val="00FA235B"/>
    <w:rsid w:val="00FA2EAE"/>
    <w:rsid w:val="00FA6D57"/>
    <w:rsid w:val="00FB0ABC"/>
    <w:rsid w:val="00FB1B0E"/>
    <w:rsid w:val="00FB2DC4"/>
    <w:rsid w:val="00FB3764"/>
    <w:rsid w:val="00FB3C4D"/>
    <w:rsid w:val="00FB47CA"/>
    <w:rsid w:val="00FB7D35"/>
    <w:rsid w:val="00FC2B53"/>
    <w:rsid w:val="00FC2DFA"/>
    <w:rsid w:val="00FC2E49"/>
    <w:rsid w:val="00FC3185"/>
    <w:rsid w:val="00FC5151"/>
    <w:rsid w:val="00FC5B67"/>
    <w:rsid w:val="00FC67EF"/>
    <w:rsid w:val="00FC6DC6"/>
    <w:rsid w:val="00FD243C"/>
    <w:rsid w:val="00FD394A"/>
    <w:rsid w:val="00FD3F71"/>
    <w:rsid w:val="00FD4FCF"/>
    <w:rsid w:val="00FD51E9"/>
    <w:rsid w:val="00FD74DD"/>
    <w:rsid w:val="00FD75F4"/>
    <w:rsid w:val="00FD7B76"/>
    <w:rsid w:val="00FE22F9"/>
    <w:rsid w:val="00FE4BCE"/>
    <w:rsid w:val="00FE4D35"/>
    <w:rsid w:val="00FE5095"/>
    <w:rsid w:val="00FE715A"/>
    <w:rsid w:val="00FE7286"/>
    <w:rsid w:val="00FF049D"/>
    <w:rsid w:val="00FF39D5"/>
    <w:rsid w:val="00FF443F"/>
    <w:rsid w:val="00FF79BA"/>
    <w:rsid w:val="00FF7D34"/>
    <w:rsid w:val="010F6F06"/>
    <w:rsid w:val="011090A7"/>
    <w:rsid w:val="0113033D"/>
    <w:rsid w:val="01153D40"/>
    <w:rsid w:val="0115543E"/>
    <w:rsid w:val="01235003"/>
    <w:rsid w:val="01245548"/>
    <w:rsid w:val="012AB2F8"/>
    <w:rsid w:val="012EA22C"/>
    <w:rsid w:val="01310AB3"/>
    <w:rsid w:val="0131B3E3"/>
    <w:rsid w:val="0131CC81"/>
    <w:rsid w:val="0138B0D9"/>
    <w:rsid w:val="01397ABF"/>
    <w:rsid w:val="0139E061"/>
    <w:rsid w:val="013D67C2"/>
    <w:rsid w:val="013DDA3C"/>
    <w:rsid w:val="013E671C"/>
    <w:rsid w:val="0146EA13"/>
    <w:rsid w:val="014C7685"/>
    <w:rsid w:val="01520E4F"/>
    <w:rsid w:val="015F91E1"/>
    <w:rsid w:val="0165DE8F"/>
    <w:rsid w:val="01708612"/>
    <w:rsid w:val="017474E2"/>
    <w:rsid w:val="0177A6AB"/>
    <w:rsid w:val="017AD4DA"/>
    <w:rsid w:val="017BDA03"/>
    <w:rsid w:val="017DA688"/>
    <w:rsid w:val="017F7BEB"/>
    <w:rsid w:val="018021EB"/>
    <w:rsid w:val="01815ECC"/>
    <w:rsid w:val="01839102"/>
    <w:rsid w:val="0186A3B6"/>
    <w:rsid w:val="01871323"/>
    <w:rsid w:val="0198EB64"/>
    <w:rsid w:val="01A13BDE"/>
    <w:rsid w:val="01AF25B3"/>
    <w:rsid w:val="01B49DCE"/>
    <w:rsid w:val="01B5B63F"/>
    <w:rsid w:val="01BD12BA"/>
    <w:rsid w:val="01C1B51D"/>
    <w:rsid w:val="01C652FA"/>
    <w:rsid w:val="01C99B8F"/>
    <w:rsid w:val="01CCA564"/>
    <w:rsid w:val="01D69DE9"/>
    <w:rsid w:val="01D76943"/>
    <w:rsid w:val="01DBB0AC"/>
    <w:rsid w:val="01DCF62A"/>
    <w:rsid w:val="01E37F32"/>
    <w:rsid w:val="01E51B5A"/>
    <w:rsid w:val="01E9998A"/>
    <w:rsid w:val="01E9D85B"/>
    <w:rsid w:val="01EAADF9"/>
    <w:rsid w:val="01F1FAAD"/>
    <w:rsid w:val="01F4269D"/>
    <w:rsid w:val="01F4280D"/>
    <w:rsid w:val="01FB03DA"/>
    <w:rsid w:val="01FB1A70"/>
    <w:rsid w:val="01FDE927"/>
    <w:rsid w:val="01FE41B1"/>
    <w:rsid w:val="0207C5CF"/>
    <w:rsid w:val="0208478C"/>
    <w:rsid w:val="020C2F18"/>
    <w:rsid w:val="020CAC53"/>
    <w:rsid w:val="022610A5"/>
    <w:rsid w:val="02305CBD"/>
    <w:rsid w:val="02339321"/>
    <w:rsid w:val="02350615"/>
    <w:rsid w:val="02399C11"/>
    <w:rsid w:val="023D8C1D"/>
    <w:rsid w:val="0241B6F1"/>
    <w:rsid w:val="024733D5"/>
    <w:rsid w:val="024800D6"/>
    <w:rsid w:val="024BA408"/>
    <w:rsid w:val="02528371"/>
    <w:rsid w:val="0259BF52"/>
    <w:rsid w:val="025AC216"/>
    <w:rsid w:val="025BDB57"/>
    <w:rsid w:val="0260F405"/>
    <w:rsid w:val="02653293"/>
    <w:rsid w:val="026BA90E"/>
    <w:rsid w:val="026BDB3B"/>
    <w:rsid w:val="0271AEDF"/>
    <w:rsid w:val="02729042"/>
    <w:rsid w:val="0274DE15"/>
    <w:rsid w:val="0280DA39"/>
    <w:rsid w:val="0287F77F"/>
    <w:rsid w:val="028811B4"/>
    <w:rsid w:val="028C0B6D"/>
    <w:rsid w:val="0290B2FB"/>
    <w:rsid w:val="0292726E"/>
    <w:rsid w:val="02927E07"/>
    <w:rsid w:val="0296A69C"/>
    <w:rsid w:val="029FFDD2"/>
    <w:rsid w:val="02B09483"/>
    <w:rsid w:val="02B49546"/>
    <w:rsid w:val="02B58B6B"/>
    <w:rsid w:val="02B63067"/>
    <w:rsid w:val="02B9EBE3"/>
    <w:rsid w:val="02C33BEE"/>
    <w:rsid w:val="02C39038"/>
    <w:rsid w:val="02CD2007"/>
    <w:rsid w:val="02CD8809"/>
    <w:rsid w:val="02D05728"/>
    <w:rsid w:val="02D12AEA"/>
    <w:rsid w:val="02D3AC29"/>
    <w:rsid w:val="02D3FB82"/>
    <w:rsid w:val="02DB32A2"/>
    <w:rsid w:val="02DB9C14"/>
    <w:rsid w:val="02E01761"/>
    <w:rsid w:val="02E6542B"/>
    <w:rsid w:val="02ED1D3C"/>
    <w:rsid w:val="02EE0982"/>
    <w:rsid w:val="02F8D8B9"/>
    <w:rsid w:val="02FC0CDD"/>
    <w:rsid w:val="02FD893A"/>
    <w:rsid w:val="03022868"/>
    <w:rsid w:val="03055425"/>
    <w:rsid w:val="030F5F3A"/>
    <w:rsid w:val="03143C96"/>
    <w:rsid w:val="0316B7F9"/>
    <w:rsid w:val="0316D369"/>
    <w:rsid w:val="031C9C10"/>
    <w:rsid w:val="032495BC"/>
    <w:rsid w:val="03271FBD"/>
    <w:rsid w:val="032E88C7"/>
    <w:rsid w:val="03323B7C"/>
    <w:rsid w:val="0333FEA4"/>
    <w:rsid w:val="0338E361"/>
    <w:rsid w:val="03399C56"/>
    <w:rsid w:val="035481C9"/>
    <w:rsid w:val="035BB4C6"/>
    <w:rsid w:val="0364D3C5"/>
    <w:rsid w:val="036B1F5E"/>
    <w:rsid w:val="0372DE5C"/>
    <w:rsid w:val="038576B1"/>
    <w:rsid w:val="03883A6A"/>
    <w:rsid w:val="03966E2D"/>
    <w:rsid w:val="0397A198"/>
    <w:rsid w:val="039A7138"/>
    <w:rsid w:val="03A9CA2B"/>
    <w:rsid w:val="03B7CB19"/>
    <w:rsid w:val="03BD4B7E"/>
    <w:rsid w:val="03BF0FB8"/>
    <w:rsid w:val="03C193F5"/>
    <w:rsid w:val="03C40060"/>
    <w:rsid w:val="03CDA640"/>
    <w:rsid w:val="03D12BD8"/>
    <w:rsid w:val="03D95C7E"/>
    <w:rsid w:val="03E78BA5"/>
    <w:rsid w:val="03EC7DD8"/>
    <w:rsid w:val="03F07BC5"/>
    <w:rsid w:val="03F1A2F8"/>
    <w:rsid w:val="03F289BB"/>
    <w:rsid w:val="03F509B1"/>
    <w:rsid w:val="03F5914C"/>
    <w:rsid w:val="03FCDD10"/>
    <w:rsid w:val="03FFE019"/>
    <w:rsid w:val="040002DF"/>
    <w:rsid w:val="04010849"/>
    <w:rsid w:val="0405A762"/>
    <w:rsid w:val="0405F627"/>
    <w:rsid w:val="040697EF"/>
    <w:rsid w:val="0406F81A"/>
    <w:rsid w:val="0408C542"/>
    <w:rsid w:val="0408DC1C"/>
    <w:rsid w:val="040906EA"/>
    <w:rsid w:val="040A5DC3"/>
    <w:rsid w:val="040AAAD9"/>
    <w:rsid w:val="040E9C7A"/>
    <w:rsid w:val="0411CEC9"/>
    <w:rsid w:val="04132A3C"/>
    <w:rsid w:val="041426B6"/>
    <w:rsid w:val="0416F8C2"/>
    <w:rsid w:val="041740F9"/>
    <w:rsid w:val="0418AB68"/>
    <w:rsid w:val="0421E951"/>
    <w:rsid w:val="042CE1CC"/>
    <w:rsid w:val="042D5249"/>
    <w:rsid w:val="04325C42"/>
    <w:rsid w:val="043431B6"/>
    <w:rsid w:val="0444FD4E"/>
    <w:rsid w:val="044CA60E"/>
    <w:rsid w:val="044CE800"/>
    <w:rsid w:val="04590243"/>
    <w:rsid w:val="045A1371"/>
    <w:rsid w:val="045FF319"/>
    <w:rsid w:val="046298F0"/>
    <w:rsid w:val="0463C989"/>
    <w:rsid w:val="046744E7"/>
    <w:rsid w:val="046CF2F5"/>
    <w:rsid w:val="046E6193"/>
    <w:rsid w:val="046FD565"/>
    <w:rsid w:val="0472D0A7"/>
    <w:rsid w:val="04797195"/>
    <w:rsid w:val="0485AE67"/>
    <w:rsid w:val="04877ABD"/>
    <w:rsid w:val="0488C5D3"/>
    <w:rsid w:val="049785EF"/>
    <w:rsid w:val="04A681E4"/>
    <w:rsid w:val="04A7FAD6"/>
    <w:rsid w:val="04A826D4"/>
    <w:rsid w:val="04B07240"/>
    <w:rsid w:val="04B2885A"/>
    <w:rsid w:val="04BFB595"/>
    <w:rsid w:val="04C52F3E"/>
    <w:rsid w:val="04C9E48A"/>
    <w:rsid w:val="04D53988"/>
    <w:rsid w:val="04D891F8"/>
    <w:rsid w:val="04DE6176"/>
    <w:rsid w:val="04E045FD"/>
    <w:rsid w:val="04F34F33"/>
    <w:rsid w:val="04F47800"/>
    <w:rsid w:val="04F63330"/>
    <w:rsid w:val="04F680A2"/>
    <w:rsid w:val="04FDA664"/>
    <w:rsid w:val="0500FA6E"/>
    <w:rsid w:val="05068BEF"/>
    <w:rsid w:val="050700A0"/>
    <w:rsid w:val="050CAE1F"/>
    <w:rsid w:val="050D9257"/>
    <w:rsid w:val="0510924A"/>
    <w:rsid w:val="051487B3"/>
    <w:rsid w:val="05190187"/>
    <w:rsid w:val="05235320"/>
    <w:rsid w:val="052495DD"/>
    <w:rsid w:val="05262D90"/>
    <w:rsid w:val="052A9A35"/>
    <w:rsid w:val="05329E3D"/>
    <w:rsid w:val="05330742"/>
    <w:rsid w:val="05347BA8"/>
    <w:rsid w:val="0536725B"/>
    <w:rsid w:val="0542813F"/>
    <w:rsid w:val="054821AC"/>
    <w:rsid w:val="054D7729"/>
    <w:rsid w:val="054EDC0C"/>
    <w:rsid w:val="0556BDFF"/>
    <w:rsid w:val="05577924"/>
    <w:rsid w:val="0558A946"/>
    <w:rsid w:val="05591BDF"/>
    <w:rsid w:val="055C2261"/>
    <w:rsid w:val="0562FA9A"/>
    <w:rsid w:val="05641071"/>
    <w:rsid w:val="05678455"/>
    <w:rsid w:val="05693471"/>
    <w:rsid w:val="056BA28F"/>
    <w:rsid w:val="05704C12"/>
    <w:rsid w:val="057061C9"/>
    <w:rsid w:val="0571FBB3"/>
    <w:rsid w:val="057323C9"/>
    <w:rsid w:val="05812338"/>
    <w:rsid w:val="05838E54"/>
    <w:rsid w:val="058F1410"/>
    <w:rsid w:val="05949DF7"/>
    <w:rsid w:val="05968374"/>
    <w:rsid w:val="0596C55E"/>
    <w:rsid w:val="059A3E9A"/>
    <w:rsid w:val="059B9B8D"/>
    <w:rsid w:val="059D5A93"/>
    <w:rsid w:val="059D98B5"/>
    <w:rsid w:val="05A10796"/>
    <w:rsid w:val="05A1E6A4"/>
    <w:rsid w:val="05A2F764"/>
    <w:rsid w:val="05A38C06"/>
    <w:rsid w:val="05A63060"/>
    <w:rsid w:val="05AEF403"/>
    <w:rsid w:val="05C63467"/>
    <w:rsid w:val="05C76940"/>
    <w:rsid w:val="05D29A2D"/>
    <w:rsid w:val="05D39BE0"/>
    <w:rsid w:val="05D3B0A5"/>
    <w:rsid w:val="05D5C16A"/>
    <w:rsid w:val="05D60341"/>
    <w:rsid w:val="05DE7F25"/>
    <w:rsid w:val="05E17146"/>
    <w:rsid w:val="05E6CEB2"/>
    <w:rsid w:val="05EA3059"/>
    <w:rsid w:val="05F182B1"/>
    <w:rsid w:val="05F58876"/>
    <w:rsid w:val="0607622C"/>
    <w:rsid w:val="0610CFD9"/>
    <w:rsid w:val="06151215"/>
    <w:rsid w:val="061853FD"/>
    <w:rsid w:val="062415BB"/>
    <w:rsid w:val="06262C26"/>
    <w:rsid w:val="063686D1"/>
    <w:rsid w:val="06386A66"/>
    <w:rsid w:val="063DBE08"/>
    <w:rsid w:val="063E5E00"/>
    <w:rsid w:val="06405115"/>
    <w:rsid w:val="0643372A"/>
    <w:rsid w:val="0646481F"/>
    <w:rsid w:val="06518D4F"/>
    <w:rsid w:val="06535D85"/>
    <w:rsid w:val="0655A03E"/>
    <w:rsid w:val="0659FFE8"/>
    <w:rsid w:val="065CF56A"/>
    <w:rsid w:val="065D255E"/>
    <w:rsid w:val="066455F7"/>
    <w:rsid w:val="066476BD"/>
    <w:rsid w:val="06653715"/>
    <w:rsid w:val="066DDECB"/>
    <w:rsid w:val="0672BD5B"/>
    <w:rsid w:val="0677B92C"/>
    <w:rsid w:val="06798BB6"/>
    <w:rsid w:val="067BEF4D"/>
    <w:rsid w:val="067C165E"/>
    <w:rsid w:val="067F1DDA"/>
    <w:rsid w:val="0683224E"/>
    <w:rsid w:val="068677FB"/>
    <w:rsid w:val="068A8657"/>
    <w:rsid w:val="068BAADE"/>
    <w:rsid w:val="069052A1"/>
    <w:rsid w:val="069B66E8"/>
    <w:rsid w:val="069F865B"/>
    <w:rsid w:val="06A54684"/>
    <w:rsid w:val="06AB2BEE"/>
    <w:rsid w:val="06B533D2"/>
    <w:rsid w:val="06B5CF4A"/>
    <w:rsid w:val="06B71AB6"/>
    <w:rsid w:val="06B8CA07"/>
    <w:rsid w:val="06BD4BFB"/>
    <w:rsid w:val="06C0E1B5"/>
    <w:rsid w:val="06C1EA25"/>
    <w:rsid w:val="06C25F76"/>
    <w:rsid w:val="06C2F54B"/>
    <w:rsid w:val="06C864CA"/>
    <w:rsid w:val="06CAFB20"/>
    <w:rsid w:val="06CB0B68"/>
    <w:rsid w:val="06D2388A"/>
    <w:rsid w:val="06D2438C"/>
    <w:rsid w:val="06D54D1D"/>
    <w:rsid w:val="06D61F18"/>
    <w:rsid w:val="06D6AF0F"/>
    <w:rsid w:val="06E02F48"/>
    <w:rsid w:val="06E36A62"/>
    <w:rsid w:val="06ECB17A"/>
    <w:rsid w:val="06EF412D"/>
    <w:rsid w:val="06EF759B"/>
    <w:rsid w:val="06F1EABE"/>
    <w:rsid w:val="06F2975F"/>
    <w:rsid w:val="06FBC3F9"/>
    <w:rsid w:val="070046E7"/>
    <w:rsid w:val="07017EFA"/>
    <w:rsid w:val="07056EDC"/>
    <w:rsid w:val="070CB418"/>
    <w:rsid w:val="070D2DAE"/>
    <w:rsid w:val="070FF633"/>
    <w:rsid w:val="07100D17"/>
    <w:rsid w:val="071028B9"/>
    <w:rsid w:val="0711F2FD"/>
    <w:rsid w:val="071975D2"/>
    <w:rsid w:val="071C9D3C"/>
    <w:rsid w:val="0720D241"/>
    <w:rsid w:val="07284FBB"/>
    <w:rsid w:val="072AC887"/>
    <w:rsid w:val="0732194A"/>
    <w:rsid w:val="073227DE"/>
    <w:rsid w:val="07347406"/>
    <w:rsid w:val="0736E0D2"/>
    <w:rsid w:val="07375A59"/>
    <w:rsid w:val="07450418"/>
    <w:rsid w:val="07468662"/>
    <w:rsid w:val="07617E57"/>
    <w:rsid w:val="0762C733"/>
    <w:rsid w:val="0766C4D7"/>
    <w:rsid w:val="07680DF6"/>
    <w:rsid w:val="0769CF5B"/>
    <w:rsid w:val="0769EAA6"/>
    <w:rsid w:val="0772873B"/>
    <w:rsid w:val="077D8620"/>
    <w:rsid w:val="0786A0E7"/>
    <w:rsid w:val="0786C60A"/>
    <w:rsid w:val="078890D8"/>
    <w:rsid w:val="078DA6AF"/>
    <w:rsid w:val="078DF133"/>
    <w:rsid w:val="078EC95F"/>
    <w:rsid w:val="07922F6F"/>
    <w:rsid w:val="0794559B"/>
    <w:rsid w:val="0798BC23"/>
    <w:rsid w:val="079AB5AD"/>
    <w:rsid w:val="07A08DEB"/>
    <w:rsid w:val="07A3698C"/>
    <w:rsid w:val="07A493B7"/>
    <w:rsid w:val="07A7253A"/>
    <w:rsid w:val="07A7F79B"/>
    <w:rsid w:val="07A8FAD1"/>
    <w:rsid w:val="07AD5AA1"/>
    <w:rsid w:val="07AE1C29"/>
    <w:rsid w:val="07B6342D"/>
    <w:rsid w:val="07B9EF10"/>
    <w:rsid w:val="07BB9FA3"/>
    <w:rsid w:val="07C0AAA5"/>
    <w:rsid w:val="07C0DEDB"/>
    <w:rsid w:val="07D40637"/>
    <w:rsid w:val="07D5AA33"/>
    <w:rsid w:val="07DB0214"/>
    <w:rsid w:val="07DCB9FA"/>
    <w:rsid w:val="07DEC2B1"/>
    <w:rsid w:val="07E304C1"/>
    <w:rsid w:val="07E81302"/>
    <w:rsid w:val="07FA0626"/>
    <w:rsid w:val="07FC9D32"/>
    <w:rsid w:val="08030D11"/>
    <w:rsid w:val="08069C43"/>
    <w:rsid w:val="08086FAF"/>
    <w:rsid w:val="080C67B2"/>
    <w:rsid w:val="080EF834"/>
    <w:rsid w:val="080EF8B7"/>
    <w:rsid w:val="0815A266"/>
    <w:rsid w:val="0815BE6C"/>
    <w:rsid w:val="0815CF5F"/>
    <w:rsid w:val="081A270F"/>
    <w:rsid w:val="08269C4D"/>
    <w:rsid w:val="082D45C5"/>
    <w:rsid w:val="082F81BA"/>
    <w:rsid w:val="08353E28"/>
    <w:rsid w:val="0844C580"/>
    <w:rsid w:val="084EBF77"/>
    <w:rsid w:val="08569206"/>
    <w:rsid w:val="0858696F"/>
    <w:rsid w:val="085A66EE"/>
    <w:rsid w:val="0862BCBA"/>
    <w:rsid w:val="086F51F7"/>
    <w:rsid w:val="0871BE9F"/>
    <w:rsid w:val="0876902B"/>
    <w:rsid w:val="08779444"/>
    <w:rsid w:val="088C0D82"/>
    <w:rsid w:val="088C268D"/>
    <w:rsid w:val="088FF36E"/>
    <w:rsid w:val="08951248"/>
    <w:rsid w:val="089CD820"/>
    <w:rsid w:val="08A1DF1F"/>
    <w:rsid w:val="08A99051"/>
    <w:rsid w:val="08AA00A2"/>
    <w:rsid w:val="08AA4CB6"/>
    <w:rsid w:val="08AE260A"/>
    <w:rsid w:val="08B513BD"/>
    <w:rsid w:val="08B74619"/>
    <w:rsid w:val="08BEB097"/>
    <w:rsid w:val="08C33170"/>
    <w:rsid w:val="08C534FE"/>
    <w:rsid w:val="08CC4940"/>
    <w:rsid w:val="08D21FD5"/>
    <w:rsid w:val="08D77232"/>
    <w:rsid w:val="08DB71BB"/>
    <w:rsid w:val="08DC61C3"/>
    <w:rsid w:val="08E1E0C1"/>
    <w:rsid w:val="08E60FC6"/>
    <w:rsid w:val="08E82996"/>
    <w:rsid w:val="08EB588D"/>
    <w:rsid w:val="08EF7A61"/>
    <w:rsid w:val="08F3B67A"/>
    <w:rsid w:val="08F4BFEE"/>
    <w:rsid w:val="08F799D6"/>
    <w:rsid w:val="08F85B0F"/>
    <w:rsid w:val="08FB1990"/>
    <w:rsid w:val="090C8111"/>
    <w:rsid w:val="090DA74F"/>
    <w:rsid w:val="091A8AF8"/>
    <w:rsid w:val="092B887A"/>
    <w:rsid w:val="092D73D5"/>
    <w:rsid w:val="0931C2DB"/>
    <w:rsid w:val="09342737"/>
    <w:rsid w:val="09381CCB"/>
    <w:rsid w:val="093866A1"/>
    <w:rsid w:val="093A5D63"/>
    <w:rsid w:val="093DEC75"/>
    <w:rsid w:val="094D81DB"/>
    <w:rsid w:val="0952C3BC"/>
    <w:rsid w:val="09535A7C"/>
    <w:rsid w:val="0955C5B5"/>
    <w:rsid w:val="09575F05"/>
    <w:rsid w:val="095B0611"/>
    <w:rsid w:val="095D40F6"/>
    <w:rsid w:val="096FF67B"/>
    <w:rsid w:val="09704171"/>
    <w:rsid w:val="0971F6D2"/>
    <w:rsid w:val="097440FA"/>
    <w:rsid w:val="0974BF9A"/>
    <w:rsid w:val="0975F42A"/>
    <w:rsid w:val="097ACE85"/>
    <w:rsid w:val="097DE1C1"/>
    <w:rsid w:val="097F3A72"/>
    <w:rsid w:val="0984CCE9"/>
    <w:rsid w:val="09879750"/>
    <w:rsid w:val="0992D9A3"/>
    <w:rsid w:val="0995A212"/>
    <w:rsid w:val="09962223"/>
    <w:rsid w:val="09A180F3"/>
    <w:rsid w:val="09A22F7C"/>
    <w:rsid w:val="09A926E3"/>
    <w:rsid w:val="09AD1C54"/>
    <w:rsid w:val="09AEC711"/>
    <w:rsid w:val="09B39B07"/>
    <w:rsid w:val="09BC433D"/>
    <w:rsid w:val="09BE6372"/>
    <w:rsid w:val="09C9D706"/>
    <w:rsid w:val="09CD348C"/>
    <w:rsid w:val="09CE1C5F"/>
    <w:rsid w:val="09D17E20"/>
    <w:rsid w:val="09D9512E"/>
    <w:rsid w:val="09D996D4"/>
    <w:rsid w:val="09E56E86"/>
    <w:rsid w:val="09EB3649"/>
    <w:rsid w:val="09EBADA3"/>
    <w:rsid w:val="09EC2B59"/>
    <w:rsid w:val="09ED0E95"/>
    <w:rsid w:val="09EDA7B9"/>
    <w:rsid w:val="09F5A51C"/>
    <w:rsid w:val="09F766C5"/>
    <w:rsid w:val="09F77F1F"/>
    <w:rsid w:val="09F95DDE"/>
    <w:rsid w:val="09F9A53B"/>
    <w:rsid w:val="09FC13AF"/>
    <w:rsid w:val="0A0013E8"/>
    <w:rsid w:val="0A0226F2"/>
    <w:rsid w:val="0A056AD2"/>
    <w:rsid w:val="0A0655C7"/>
    <w:rsid w:val="0A06C727"/>
    <w:rsid w:val="0A07412B"/>
    <w:rsid w:val="0A1338BA"/>
    <w:rsid w:val="0A1647B0"/>
    <w:rsid w:val="0A204B86"/>
    <w:rsid w:val="0A2299EC"/>
    <w:rsid w:val="0A274D6D"/>
    <w:rsid w:val="0A2D4F4D"/>
    <w:rsid w:val="0A2F80C3"/>
    <w:rsid w:val="0A330178"/>
    <w:rsid w:val="0A37F3A0"/>
    <w:rsid w:val="0A407E1D"/>
    <w:rsid w:val="0A42FBBD"/>
    <w:rsid w:val="0A4541A2"/>
    <w:rsid w:val="0A46C71A"/>
    <w:rsid w:val="0A49EA3E"/>
    <w:rsid w:val="0A50F29C"/>
    <w:rsid w:val="0A51252C"/>
    <w:rsid w:val="0A5D8B96"/>
    <w:rsid w:val="0A67AF40"/>
    <w:rsid w:val="0A6EFED3"/>
    <w:rsid w:val="0A73AAAA"/>
    <w:rsid w:val="0A77D611"/>
    <w:rsid w:val="0A79C410"/>
    <w:rsid w:val="0A7EDAA6"/>
    <w:rsid w:val="0A8188CD"/>
    <w:rsid w:val="0A9B1675"/>
    <w:rsid w:val="0A9D5F23"/>
    <w:rsid w:val="0AA4A663"/>
    <w:rsid w:val="0AB06AA6"/>
    <w:rsid w:val="0AB25265"/>
    <w:rsid w:val="0AB9F9EF"/>
    <w:rsid w:val="0ABBE792"/>
    <w:rsid w:val="0ABDB082"/>
    <w:rsid w:val="0ABF95BC"/>
    <w:rsid w:val="0AC25E1F"/>
    <w:rsid w:val="0AC45DC0"/>
    <w:rsid w:val="0AC5C754"/>
    <w:rsid w:val="0AC71441"/>
    <w:rsid w:val="0ACAD7A3"/>
    <w:rsid w:val="0ACB0DA0"/>
    <w:rsid w:val="0AD02CCB"/>
    <w:rsid w:val="0AD24823"/>
    <w:rsid w:val="0AD2BEB9"/>
    <w:rsid w:val="0AD36832"/>
    <w:rsid w:val="0AD429CF"/>
    <w:rsid w:val="0AD5377C"/>
    <w:rsid w:val="0AD68B2E"/>
    <w:rsid w:val="0AE3AA38"/>
    <w:rsid w:val="0AE5C90C"/>
    <w:rsid w:val="0AE974E5"/>
    <w:rsid w:val="0AE97C73"/>
    <w:rsid w:val="0AF232AF"/>
    <w:rsid w:val="0AF60831"/>
    <w:rsid w:val="0AF7B0FB"/>
    <w:rsid w:val="0AFED458"/>
    <w:rsid w:val="0B013CD7"/>
    <w:rsid w:val="0B0483BC"/>
    <w:rsid w:val="0B049D0E"/>
    <w:rsid w:val="0B04C0FA"/>
    <w:rsid w:val="0B0966EC"/>
    <w:rsid w:val="0B1153E2"/>
    <w:rsid w:val="0B1248A3"/>
    <w:rsid w:val="0B135002"/>
    <w:rsid w:val="0B18534B"/>
    <w:rsid w:val="0B1CF2B7"/>
    <w:rsid w:val="0B1F58E1"/>
    <w:rsid w:val="0B24F3F3"/>
    <w:rsid w:val="0B332F61"/>
    <w:rsid w:val="0B4237BD"/>
    <w:rsid w:val="0B43925F"/>
    <w:rsid w:val="0B458E97"/>
    <w:rsid w:val="0B460B98"/>
    <w:rsid w:val="0B49629F"/>
    <w:rsid w:val="0B516203"/>
    <w:rsid w:val="0B5653B4"/>
    <w:rsid w:val="0B569D33"/>
    <w:rsid w:val="0B56A06C"/>
    <w:rsid w:val="0B5CA123"/>
    <w:rsid w:val="0B5CF084"/>
    <w:rsid w:val="0B5DD0CA"/>
    <w:rsid w:val="0B65AD4D"/>
    <w:rsid w:val="0B7865B8"/>
    <w:rsid w:val="0B7983B6"/>
    <w:rsid w:val="0B7A38F0"/>
    <w:rsid w:val="0B81C8D9"/>
    <w:rsid w:val="0B852E9E"/>
    <w:rsid w:val="0B871FB4"/>
    <w:rsid w:val="0B873B8C"/>
    <w:rsid w:val="0B8C9C64"/>
    <w:rsid w:val="0B8DD417"/>
    <w:rsid w:val="0B8E88AA"/>
    <w:rsid w:val="0B9D6B70"/>
    <w:rsid w:val="0BA33DCE"/>
    <w:rsid w:val="0BA5FC67"/>
    <w:rsid w:val="0BA7CF52"/>
    <w:rsid w:val="0BAB654D"/>
    <w:rsid w:val="0BB5585B"/>
    <w:rsid w:val="0BBC7BFB"/>
    <w:rsid w:val="0BBE6A4D"/>
    <w:rsid w:val="0BC5F56C"/>
    <w:rsid w:val="0BCB5124"/>
    <w:rsid w:val="0BCDA86D"/>
    <w:rsid w:val="0BD0CC27"/>
    <w:rsid w:val="0BD2AD18"/>
    <w:rsid w:val="0BD9440A"/>
    <w:rsid w:val="0BDC444C"/>
    <w:rsid w:val="0BE4719B"/>
    <w:rsid w:val="0BE713CF"/>
    <w:rsid w:val="0BED17CD"/>
    <w:rsid w:val="0BF54412"/>
    <w:rsid w:val="0BF67169"/>
    <w:rsid w:val="0BF6E514"/>
    <w:rsid w:val="0BF9C633"/>
    <w:rsid w:val="0C03D20E"/>
    <w:rsid w:val="0C04C42B"/>
    <w:rsid w:val="0C0CC772"/>
    <w:rsid w:val="0C0ECA89"/>
    <w:rsid w:val="0C15C681"/>
    <w:rsid w:val="0C180ECA"/>
    <w:rsid w:val="0C19CDEC"/>
    <w:rsid w:val="0C206347"/>
    <w:rsid w:val="0C265484"/>
    <w:rsid w:val="0C27A3AA"/>
    <w:rsid w:val="0C2BF886"/>
    <w:rsid w:val="0C37DE1F"/>
    <w:rsid w:val="0C3AE3C7"/>
    <w:rsid w:val="0C3D5DF1"/>
    <w:rsid w:val="0C433F73"/>
    <w:rsid w:val="0C47CBD7"/>
    <w:rsid w:val="0C4ACEF2"/>
    <w:rsid w:val="0C4E80F5"/>
    <w:rsid w:val="0C4FD59C"/>
    <w:rsid w:val="0C5128A8"/>
    <w:rsid w:val="0C5593DB"/>
    <w:rsid w:val="0C5682ED"/>
    <w:rsid w:val="0C5B661D"/>
    <w:rsid w:val="0C5FED2C"/>
    <w:rsid w:val="0C62DF94"/>
    <w:rsid w:val="0C62E4A2"/>
    <w:rsid w:val="0C6D20C5"/>
    <w:rsid w:val="0C760A5D"/>
    <w:rsid w:val="0C7662F8"/>
    <w:rsid w:val="0C79EFB2"/>
    <w:rsid w:val="0C7DCB2A"/>
    <w:rsid w:val="0C7EEA61"/>
    <w:rsid w:val="0C825F10"/>
    <w:rsid w:val="0C84BBC3"/>
    <w:rsid w:val="0C850A62"/>
    <w:rsid w:val="0C89A550"/>
    <w:rsid w:val="0C969D34"/>
    <w:rsid w:val="0C992667"/>
    <w:rsid w:val="0C9CCCCA"/>
    <w:rsid w:val="0C9FE0D2"/>
    <w:rsid w:val="0CBC07FD"/>
    <w:rsid w:val="0CC2F80F"/>
    <w:rsid w:val="0CC4217A"/>
    <w:rsid w:val="0CCA487C"/>
    <w:rsid w:val="0CCF80D6"/>
    <w:rsid w:val="0CD3253C"/>
    <w:rsid w:val="0CE41D42"/>
    <w:rsid w:val="0CE580EB"/>
    <w:rsid w:val="0CE60912"/>
    <w:rsid w:val="0CECC5E4"/>
    <w:rsid w:val="0CEF9CD7"/>
    <w:rsid w:val="0CF0B9B9"/>
    <w:rsid w:val="0CF29F4E"/>
    <w:rsid w:val="0CF3FB9E"/>
    <w:rsid w:val="0CF60533"/>
    <w:rsid w:val="0D015461"/>
    <w:rsid w:val="0D060ED7"/>
    <w:rsid w:val="0D0704BF"/>
    <w:rsid w:val="0D0C6933"/>
    <w:rsid w:val="0D0E04DA"/>
    <w:rsid w:val="0D0F0A42"/>
    <w:rsid w:val="0D11AA58"/>
    <w:rsid w:val="0D1A3C79"/>
    <w:rsid w:val="0D1ED8C0"/>
    <w:rsid w:val="0D23FDC7"/>
    <w:rsid w:val="0D286CC5"/>
    <w:rsid w:val="0D299D77"/>
    <w:rsid w:val="0D3453E2"/>
    <w:rsid w:val="0D37FE80"/>
    <w:rsid w:val="0D421F75"/>
    <w:rsid w:val="0D49575E"/>
    <w:rsid w:val="0D49AF39"/>
    <w:rsid w:val="0D500D8E"/>
    <w:rsid w:val="0D5BAE21"/>
    <w:rsid w:val="0D6086ED"/>
    <w:rsid w:val="0D6225B3"/>
    <w:rsid w:val="0D62E6ED"/>
    <w:rsid w:val="0D764532"/>
    <w:rsid w:val="0D76D508"/>
    <w:rsid w:val="0D7789F7"/>
    <w:rsid w:val="0D7837EC"/>
    <w:rsid w:val="0D88F672"/>
    <w:rsid w:val="0D8F5A25"/>
    <w:rsid w:val="0D93CBA9"/>
    <w:rsid w:val="0D97A566"/>
    <w:rsid w:val="0DA28600"/>
    <w:rsid w:val="0DA94EC6"/>
    <w:rsid w:val="0DB14009"/>
    <w:rsid w:val="0DB4592F"/>
    <w:rsid w:val="0DB6BA59"/>
    <w:rsid w:val="0DB77EE9"/>
    <w:rsid w:val="0DB93FDB"/>
    <w:rsid w:val="0DC82A92"/>
    <w:rsid w:val="0DC8FA5F"/>
    <w:rsid w:val="0DCB0AF9"/>
    <w:rsid w:val="0DCF3F70"/>
    <w:rsid w:val="0DD17D77"/>
    <w:rsid w:val="0DE23269"/>
    <w:rsid w:val="0DEC89CA"/>
    <w:rsid w:val="0DED831B"/>
    <w:rsid w:val="0DF2BE0E"/>
    <w:rsid w:val="0DF478F9"/>
    <w:rsid w:val="0E0061EC"/>
    <w:rsid w:val="0E00C8E0"/>
    <w:rsid w:val="0E02D588"/>
    <w:rsid w:val="0E038907"/>
    <w:rsid w:val="0E087684"/>
    <w:rsid w:val="0E094D67"/>
    <w:rsid w:val="0E0DFF6C"/>
    <w:rsid w:val="0E12CC56"/>
    <w:rsid w:val="0E143DE8"/>
    <w:rsid w:val="0E171C79"/>
    <w:rsid w:val="0E17A26A"/>
    <w:rsid w:val="0E232CD8"/>
    <w:rsid w:val="0E26E389"/>
    <w:rsid w:val="0E27478D"/>
    <w:rsid w:val="0E27A117"/>
    <w:rsid w:val="0E341E46"/>
    <w:rsid w:val="0E3C18CC"/>
    <w:rsid w:val="0E3CA452"/>
    <w:rsid w:val="0E3ED3CE"/>
    <w:rsid w:val="0E435BE1"/>
    <w:rsid w:val="0E44ACF7"/>
    <w:rsid w:val="0E44FAD0"/>
    <w:rsid w:val="0E586071"/>
    <w:rsid w:val="0E5DE951"/>
    <w:rsid w:val="0E5E036C"/>
    <w:rsid w:val="0E62DDCC"/>
    <w:rsid w:val="0E66D8ED"/>
    <w:rsid w:val="0E689525"/>
    <w:rsid w:val="0E69350E"/>
    <w:rsid w:val="0E699346"/>
    <w:rsid w:val="0E6FC6AA"/>
    <w:rsid w:val="0E7A3576"/>
    <w:rsid w:val="0E7AA99B"/>
    <w:rsid w:val="0E9178E3"/>
    <w:rsid w:val="0EA31DA4"/>
    <w:rsid w:val="0EA379F0"/>
    <w:rsid w:val="0EAB3FE6"/>
    <w:rsid w:val="0EADC752"/>
    <w:rsid w:val="0EC4C1DD"/>
    <w:rsid w:val="0ECC1144"/>
    <w:rsid w:val="0ED35693"/>
    <w:rsid w:val="0ED49642"/>
    <w:rsid w:val="0ED76B7B"/>
    <w:rsid w:val="0EDA99F9"/>
    <w:rsid w:val="0EDE050B"/>
    <w:rsid w:val="0EE0AD8D"/>
    <w:rsid w:val="0EE92BC3"/>
    <w:rsid w:val="0EEA1B74"/>
    <w:rsid w:val="0EEB0F28"/>
    <w:rsid w:val="0EEBDDEF"/>
    <w:rsid w:val="0EED70E4"/>
    <w:rsid w:val="0EF0B8EB"/>
    <w:rsid w:val="0EF2DBF0"/>
    <w:rsid w:val="0F0395A1"/>
    <w:rsid w:val="0F048602"/>
    <w:rsid w:val="0F04D484"/>
    <w:rsid w:val="0F0DC271"/>
    <w:rsid w:val="0F22F484"/>
    <w:rsid w:val="0F2749A9"/>
    <w:rsid w:val="0F27AC12"/>
    <w:rsid w:val="0F2B147C"/>
    <w:rsid w:val="0F3113EF"/>
    <w:rsid w:val="0F369D14"/>
    <w:rsid w:val="0F3F26C7"/>
    <w:rsid w:val="0F42C2FE"/>
    <w:rsid w:val="0F45A1BC"/>
    <w:rsid w:val="0F4617DC"/>
    <w:rsid w:val="0F48BDAC"/>
    <w:rsid w:val="0F4DA27B"/>
    <w:rsid w:val="0F51C299"/>
    <w:rsid w:val="0F597F43"/>
    <w:rsid w:val="0F604832"/>
    <w:rsid w:val="0F62002E"/>
    <w:rsid w:val="0F632441"/>
    <w:rsid w:val="0F642B3B"/>
    <w:rsid w:val="0F679150"/>
    <w:rsid w:val="0F762335"/>
    <w:rsid w:val="0F7675A4"/>
    <w:rsid w:val="0F7783AB"/>
    <w:rsid w:val="0F7C2612"/>
    <w:rsid w:val="0F88CF35"/>
    <w:rsid w:val="0F9037A9"/>
    <w:rsid w:val="0F924F30"/>
    <w:rsid w:val="0F980E91"/>
    <w:rsid w:val="0F987774"/>
    <w:rsid w:val="0F998A42"/>
    <w:rsid w:val="0F9A825A"/>
    <w:rsid w:val="0FA88A2B"/>
    <w:rsid w:val="0FAA5FB0"/>
    <w:rsid w:val="0FB31929"/>
    <w:rsid w:val="0FB42479"/>
    <w:rsid w:val="0FB7CFB1"/>
    <w:rsid w:val="0FB832E9"/>
    <w:rsid w:val="0FB96961"/>
    <w:rsid w:val="0FBB795F"/>
    <w:rsid w:val="0FBE57C2"/>
    <w:rsid w:val="0FC508D5"/>
    <w:rsid w:val="0FC9A5E5"/>
    <w:rsid w:val="0FCA3C57"/>
    <w:rsid w:val="0FCB54ED"/>
    <w:rsid w:val="0FCDC5A1"/>
    <w:rsid w:val="0FD7658B"/>
    <w:rsid w:val="0FE7ECE8"/>
    <w:rsid w:val="0FEF02D1"/>
    <w:rsid w:val="0FEF8EB6"/>
    <w:rsid w:val="0FF48E00"/>
    <w:rsid w:val="0FF6A9BB"/>
    <w:rsid w:val="0FFFB356"/>
    <w:rsid w:val="10022A01"/>
    <w:rsid w:val="10046C04"/>
    <w:rsid w:val="1014D01F"/>
    <w:rsid w:val="101AD4E5"/>
    <w:rsid w:val="10224119"/>
    <w:rsid w:val="10231ACF"/>
    <w:rsid w:val="102BF877"/>
    <w:rsid w:val="1030ADAE"/>
    <w:rsid w:val="103A2FF0"/>
    <w:rsid w:val="103D6DB4"/>
    <w:rsid w:val="1042BA62"/>
    <w:rsid w:val="10447093"/>
    <w:rsid w:val="10451214"/>
    <w:rsid w:val="10480985"/>
    <w:rsid w:val="10504F96"/>
    <w:rsid w:val="10546A9E"/>
    <w:rsid w:val="1055714C"/>
    <w:rsid w:val="105709B4"/>
    <w:rsid w:val="105B4A60"/>
    <w:rsid w:val="106056DF"/>
    <w:rsid w:val="106CE88A"/>
    <w:rsid w:val="10709FF2"/>
    <w:rsid w:val="1076CDD7"/>
    <w:rsid w:val="107D3A9D"/>
    <w:rsid w:val="10844ABC"/>
    <w:rsid w:val="1087AE50"/>
    <w:rsid w:val="1087C5BF"/>
    <w:rsid w:val="10886FA7"/>
    <w:rsid w:val="108DAE25"/>
    <w:rsid w:val="108F6B0D"/>
    <w:rsid w:val="1090A1C7"/>
    <w:rsid w:val="10915CDD"/>
    <w:rsid w:val="10968EF1"/>
    <w:rsid w:val="1097E4DA"/>
    <w:rsid w:val="109B8ADE"/>
    <w:rsid w:val="109C7595"/>
    <w:rsid w:val="109D3FC1"/>
    <w:rsid w:val="109E826F"/>
    <w:rsid w:val="109F3E68"/>
    <w:rsid w:val="10A3A3B3"/>
    <w:rsid w:val="10B1CBDF"/>
    <w:rsid w:val="10B79BBE"/>
    <w:rsid w:val="10B82D52"/>
    <w:rsid w:val="10B876FB"/>
    <w:rsid w:val="10BA637C"/>
    <w:rsid w:val="10C04B93"/>
    <w:rsid w:val="10C27CA0"/>
    <w:rsid w:val="10C6C5C2"/>
    <w:rsid w:val="10CA5EA1"/>
    <w:rsid w:val="10CF3255"/>
    <w:rsid w:val="10D0D4BA"/>
    <w:rsid w:val="10D3F1CF"/>
    <w:rsid w:val="10D935D9"/>
    <w:rsid w:val="10E2EFA4"/>
    <w:rsid w:val="10E571A7"/>
    <w:rsid w:val="10EB3573"/>
    <w:rsid w:val="1101B26C"/>
    <w:rsid w:val="1103B388"/>
    <w:rsid w:val="110F6B5C"/>
    <w:rsid w:val="11159D58"/>
    <w:rsid w:val="1115BF6F"/>
    <w:rsid w:val="111837F6"/>
    <w:rsid w:val="11200432"/>
    <w:rsid w:val="1120C724"/>
    <w:rsid w:val="1129A0CC"/>
    <w:rsid w:val="1129C4CD"/>
    <w:rsid w:val="112A5524"/>
    <w:rsid w:val="113724E4"/>
    <w:rsid w:val="113885BA"/>
    <w:rsid w:val="113E6926"/>
    <w:rsid w:val="113E944F"/>
    <w:rsid w:val="1140E132"/>
    <w:rsid w:val="114F3688"/>
    <w:rsid w:val="11619E4F"/>
    <w:rsid w:val="1161B6DA"/>
    <w:rsid w:val="1164B2B7"/>
    <w:rsid w:val="1166CBE7"/>
    <w:rsid w:val="116BDC8F"/>
    <w:rsid w:val="116F8BE6"/>
    <w:rsid w:val="1172112B"/>
    <w:rsid w:val="1173DE92"/>
    <w:rsid w:val="11765DE8"/>
    <w:rsid w:val="1176808B"/>
    <w:rsid w:val="117698A1"/>
    <w:rsid w:val="117D481C"/>
    <w:rsid w:val="1185E48E"/>
    <w:rsid w:val="118B2077"/>
    <w:rsid w:val="1194C57A"/>
    <w:rsid w:val="1198779B"/>
    <w:rsid w:val="1198F8E8"/>
    <w:rsid w:val="119DF9EF"/>
    <w:rsid w:val="11A011E7"/>
    <w:rsid w:val="11A24580"/>
    <w:rsid w:val="11A31CA3"/>
    <w:rsid w:val="11A3A407"/>
    <w:rsid w:val="11B58EF6"/>
    <w:rsid w:val="11B5A927"/>
    <w:rsid w:val="11CAE90E"/>
    <w:rsid w:val="11CEBABD"/>
    <w:rsid w:val="11CF010C"/>
    <w:rsid w:val="11DDD66C"/>
    <w:rsid w:val="11DE51E2"/>
    <w:rsid w:val="11DE692B"/>
    <w:rsid w:val="11E0BC5D"/>
    <w:rsid w:val="11E24202"/>
    <w:rsid w:val="11EA1B8C"/>
    <w:rsid w:val="11EAD09D"/>
    <w:rsid w:val="11EBA7C6"/>
    <w:rsid w:val="11F2F3BB"/>
    <w:rsid w:val="11F50C3D"/>
    <w:rsid w:val="11F9020A"/>
    <w:rsid w:val="11FD1672"/>
    <w:rsid w:val="120241D5"/>
    <w:rsid w:val="12026D7E"/>
    <w:rsid w:val="1206D5F9"/>
    <w:rsid w:val="120D52ED"/>
    <w:rsid w:val="12111660"/>
    <w:rsid w:val="1217AC56"/>
    <w:rsid w:val="121A9EE4"/>
    <w:rsid w:val="1222CD5A"/>
    <w:rsid w:val="1223CDCB"/>
    <w:rsid w:val="122640EE"/>
    <w:rsid w:val="122D15CE"/>
    <w:rsid w:val="12313716"/>
    <w:rsid w:val="123A8787"/>
    <w:rsid w:val="12584153"/>
    <w:rsid w:val="12649EA4"/>
    <w:rsid w:val="126827A2"/>
    <w:rsid w:val="126D6182"/>
    <w:rsid w:val="126DDC26"/>
    <w:rsid w:val="126EC3F9"/>
    <w:rsid w:val="126FC230"/>
    <w:rsid w:val="12771583"/>
    <w:rsid w:val="12791499"/>
    <w:rsid w:val="12818D68"/>
    <w:rsid w:val="128CF02B"/>
    <w:rsid w:val="128FC3A4"/>
    <w:rsid w:val="12939603"/>
    <w:rsid w:val="1294F6FB"/>
    <w:rsid w:val="1296006D"/>
    <w:rsid w:val="129B6960"/>
    <w:rsid w:val="129F8656"/>
    <w:rsid w:val="12A11701"/>
    <w:rsid w:val="12A38A75"/>
    <w:rsid w:val="12A3B983"/>
    <w:rsid w:val="12A70399"/>
    <w:rsid w:val="12ACACBE"/>
    <w:rsid w:val="12B38F85"/>
    <w:rsid w:val="12B452F4"/>
    <w:rsid w:val="12B52079"/>
    <w:rsid w:val="12B5BB63"/>
    <w:rsid w:val="12B66C00"/>
    <w:rsid w:val="12BC1341"/>
    <w:rsid w:val="12BE22EC"/>
    <w:rsid w:val="12BF0ED5"/>
    <w:rsid w:val="12C0F31F"/>
    <w:rsid w:val="12C544A3"/>
    <w:rsid w:val="12C5D6B4"/>
    <w:rsid w:val="12CB80E5"/>
    <w:rsid w:val="12D0BE5F"/>
    <w:rsid w:val="12D0F8C5"/>
    <w:rsid w:val="12E1116B"/>
    <w:rsid w:val="12E2F7D1"/>
    <w:rsid w:val="12E75D25"/>
    <w:rsid w:val="12EE37EC"/>
    <w:rsid w:val="12F1A251"/>
    <w:rsid w:val="12F8AE9D"/>
    <w:rsid w:val="12F8B80C"/>
    <w:rsid w:val="12FA14CC"/>
    <w:rsid w:val="1302FF5E"/>
    <w:rsid w:val="1304166A"/>
    <w:rsid w:val="130AC0F0"/>
    <w:rsid w:val="13109D56"/>
    <w:rsid w:val="1311FF22"/>
    <w:rsid w:val="131239B8"/>
    <w:rsid w:val="131CA4AB"/>
    <w:rsid w:val="131CB753"/>
    <w:rsid w:val="131CFA65"/>
    <w:rsid w:val="131E912B"/>
    <w:rsid w:val="1324D579"/>
    <w:rsid w:val="1325BB45"/>
    <w:rsid w:val="13278823"/>
    <w:rsid w:val="132FD48A"/>
    <w:rsid w:val="133261C6"/>
    <w:rsid w:val="1338D983"/>
    <w:rsid w:val="133F79D7"/>
    <w:rsid w:val="13409C87"/>
    <w:rsid w:val="13495DF1"/>
    <w:rsid w:val="134CC068"/>
    <w:rsid w:val="134EE53D"/>
    <w:rsid w:val="134F9BC2"/>
    <w:rsid w:val="1353C7A2"/>
    <w:rsid w:val="1355FDD8"/>
    <w:rsid w:val="1363200D"/>
    <w:rsid w:val="136529CD"/>
    <w:rsid w:val="1366ADB7"/>
    <w:rsid w:val="136791E7"/>
    <w:rsid w:val="136CC4E2"/>
    <w:rsid w:val="136FF086"/>
    <w:rsid w:val="13736715"/>
    <w:rsid w:val="13772925"/>
    <w:rsid w:val="13799507"/>
    <w:rsid w:val="137B3354"/>
    <w:rsid w:val="137BE9CB"/>
    <w:rsid w:val="137EB109"/>
    <w:rsid w:val="1386F51E"/>
    <w:rsid w:val="1388EA99"/>
    <w:rsid w:val="1393FD55"/>
    <w:rsid w:val="13B516E9"/>
    <w:rsid w:val="13BD2FA9"/>
    <w:rsid w:val="13C19482"/>
    <w:rsid w:val="13C40D28"/>
    <w:rsid w:val="13C986D5"/>
    <w:rsid w:val="13D657E8"/>
    <w:rsid w:val="13D7DC9E"/>
    <w:rsid w:val="13D8E5D3"/>
    <w:rsid w:val="13DCF429"/>
    <w:rsid w:val="13DFC07A"/>
    <w:rsid w:val="13E3F538"/>
    <w:rsid w:val="13E4AAAC"/>
    <w:rsid w:val="13F1C762"/>
    <w:rsid w:val="13F2043E"/>
    <w:rsid w:val="13F5A6C9"/>
    <w:rsid w:val="13FBB992"/>
    <w:rsid w:val="140371E6"/>
    <w:rsid w:val="14077DF9"/>
    <w:rsid w:val="1407A676"/>
    <w:rsid w:val="140A89C3"/>
    <w:rsid w:val="140C4931"/>
    <w:rsid w:val="141541C0"/>
    <w:rsid w:val="141F4463"/>
    <w:rsid w:val="1422D635"/>
    <w:rsid w:val="1427B9E3"/>
    <w:rsid w:val="1432A4FE"/>
    <w:rsid w:val="143426F7"/>
    <w:rsid w:val="14357E74"/>
    <w:rsid w:val="14412F3F"/>
    <w:rsid w:val="14449D2F"/>
    <w:rsid w:val="144BEBA5"/>
    <w:rsid w:val="144C66E6"/>
    <w:rsid w:val="144D7F94"/>
    <w:rsid w:val="14565D07"/>
    <w:rsid w:val="145B794F"/>
    <w:rsid w:val="145E9CD2"/>
    <w:rsid w:val="145FA2BE"/>
    <w:rsid w:val="145FBB44"/>
    <w:rsid w:val="146C8EC0"/>
    <w:rsid w:val="1485DE32"/>
    <w:rsid w:val="1488B8E0"/>
    <w:rsid w:val="148F56ED"/>
    <w:rsid w:val="1493CD8B"/>
    <w:rsid w:val="14950E4F"/>
    <w:rsid w:val="149FF5DC"/>
    <w:rsid w:val="14A4C7B6"/>
    <w:rsid w:val="14A4EA1A"/>
    <w:rsid w:val="14A4EDC7"/>
    <w:rsid w:val="14ACE79C"/>
    <w:rsid w:val="14B4D30C"/>
    <w:rsid w:val="14BD8EC4"/>
    <w:rsid w:val="14BE1277"/>
    <w:rsid w:val="14BFEEE2"/>
    <w:rsid w:val="14D0F530"/>
    <w:rsid w:val="14D5B6E5"/>
    <w:rsid w:val="14D87F34"/>
    <w:rsid w:val="14D8D4CA"/>
    <w:rsid w:val="14E1D141"/>
    <w:rsid w:val="14E593BD"/>
    <w:rsid w:val="14E724FE"/>
    <w:rsid w:val="14EBFC9D"/>
    <w:rsid w:val="14ECA7C6"/>
    <w:rsid w:val="14EE48E4"/>
    <w:rsid w:val="14F8DA09"/>
    <w:rsid w:val="14FA3F9B"/>
    <w:rsid w:val="14FAA015"/>
    <w:rsid w:val="14FB1C23"/>
    <w:rsid w:val="14FBFFA2"/>
    <w:rsid w:val="15021446"/>
    <w:rsid w:val="15024852"/>
    <w:rsid w:val="150A0D00"/>
    <w:rsid w:val="1511A6D0"/>
    <w:rsid w:val="1511C368"/>
    <w:rsid w:val="1515D49A"/>
    <w:rsid w:val="1517409C"/>
    <w:rsid w:val="151872F1"/>
    <w:rsid w:val="151A2CE0"/>
    <w:rsid w:val="151AB43B"/>
    <w:rsid w:val="151D0422"/>
    <w:rsid w:val="151F7D02"/>
    <w:rsid w:val="15216D8F"/>
    <w:rsid w:val="15245916"/>
    <w:rsid w:val="152F9C28"/>
    <w:rsid w:val="1533960E"/>
    <w:rsid w:val="153B1527"/>
    <w:rsid w:val="153B9273"/>
    <w:rsid w:val="153D55CA"/>
    <w:rsid w:val="1545F941"/>
    <w:rsid w:val="154690CF"/>
    <w:rsid w:val="1546AAD8"/>
    <w:rsid w:val="15470ED5"/>
    <w:rsid w:val="154A7322"/>
    <w:rsid w:val="154A951B"/>
    <w:rsid w:val="154FB192"/>
    <w:rsid w:val="15534E2A"/>
    <w:rsid w:val="155412B8"/>
    <w:rsid w:val="1554E50E"/>
    <w:rsid w:val="1560E6E1"/>
    <w:rsid w:val="15647FC2"/>
    <w:rsid w:val="156B25E8"/>
    <w:rsid w:val="156C7BA9"/>
    <w:rsid w:val="156C91D3"/>
    <w:rsid w:val="156CED5C"/>
    <w:rsid w:val="156E0893"/>
    <w:rsid w:val="1570E5C4"/>
    <w:rsid w:val="1576C0B9"/>
    <w:rsid w:val="157A5134"/>
    <w:rsid w:val="159188BE"/>
    <w:rsid w:val="159F4247"/>
    <w:rsid w:val="15A60941"/>
    <w:rsid w:val="15B2F884"/>
    <w:rsid w:val="15B56A62"/>
    <w:rsid w:val="15B6DA67"/>
    <w:rsid w:val="15B78247"/>
    <w:rsid w:val="15B998CB"/>
    <w:rsid w:val="15C18D4D"/>
    <w:rsid w:val="15C3F1FC"/>
    <w:rsid w:val="15C8780E"/>
    <w:rsid w:val="15CAB5AB"/>
    <w:rsid w:val="15D24E6A"/>
    <w:rsid w:val="15D7E021"/>
    <w:rsid w:val="15DB5A45"/>
    <w:rsid w:val="15DE9A7F"/>
    <w:rsid w:val="15E560CC"/>
    <w:rsid w:val="15E67A1F"/>
    <w:rsid w:val="15E7B455"/>
    <w:rsid w:val="15EADE37"/>
    <w:rsid w:val="15ED215F"/>
    <w:rsid w:val="15EE2B94"/>
    <w:rsid w:val="15EFF66A"/>
    <w:rsid w:val="15F17348"/>
    <w:rsid w:val="15F7AB7C"/>
    <w:rsid w:val="15FBC319"/>
    <w:rsid w:val="15FD7776"/>
    <w:rsid w:val="15FFBB54"/>
    <w:rsid w:val="15FFE8F4"/>
    <w:rsid w:val="160610C0"/>
    <w:rsid w:val="160C7F31"/>
    <w:rsid w:val="160F3D87"/>
    <w:rsid w:val="16171AA5"/>
    <w:rsid w:val="1617F38B"/>
    <w:rsid w:val="161B6696"/>
    <w:rsid w:val="161BFB99"/>
    <w:rsid w:val="161E36C8"/>
    <w:rsid w:val="1626CEAE"/>
    <w:rsid w:val="16274C97"/>
    <w:rsid w:val="1629BC18"/>
    <w:rsid w:val="163635E4"/>
    <w:rsid w:val="16414B3D"/>
    <w:rsid w:val="164483FC"/>
    <w:rsid w:val="16458B28"/>
    <w:rsid w:val="164FD9F0"/>
    <w:rsid w:val="1652C061"/>
    <w:rsid w:val="1655745D"/>
    <w:rsid w:val="16562F67"/>
    <w:rsid w:val="1665F88E"/>
    <w:rsid w:val="16668056"/>
    <w:rsid w:val="166DE261"/>
    <w:rsid w:val="16738538"/>
    <w:rsid w:val="1683B5BC"/>
    <w:rsid w:val="168FADC6"/>
    <w:rsid w:val="168FCC90"/>
    <w:rsid w:val="1691984C"/>
    <w:rsid w:val="1699DE7F"/>
    <w:rsid w:val="169AC0CF"/>
    <w:rsid w:val="169EFBFA"/>
    <w:rsid w:val="169F0E9D"/>
    <w:rsid w:val="16A01F17"/>
    <w:rsid w:val="16A609C5"/>
    <w:rsid w:val="16AA0C68"/>
    <w:rsid w:val="16ACF11D"/>
    <w:rsid w:val="16AFF643"/>
    <w:rsid w:val="16BC2D68"/>
    <w:rsid w:val="16BE37DE"/>
    <w:rsid w:val="16BF7622"/>
    <w:rsid w:val="16C39F03"/>
    <w:rsid w:val="16C45A40"/>
    <w:rsid w:val="16C52134"/>
    <w:rsid w:val="16CD6E8A"/>
    <w:rsid w:val="16CF53BA"/>
    <w:rsid w:val="16D35F19"/>
    <w:rsid w:val="16D449EA"/>
    <w:rsid w:val="16D61DF2"/>
    <w:rsid w:val="16E5F3DF"/>
    <w:rsid w:val="16E7AA32"/>
    <w:rsid w:val="16ECAEB5"/>
    <w:rsid w:val="16F4DD9F"/>
    <w:rsid w:val="16F9A90C"/>
    <w:rsid w:val="1700EC41"/>
    <w:rsid w:val="1705D075"/>
    <w:rsid w:val="170A6D5B"/>
    <w:rsid w:val="170D59EA"/>
    <w:rsid w:val="171253FD"/>
    <w:rsid w:val="1714BD78"/>
    <w:rsid w:val="1715EE65"/>
    <w:rsid w:val="1716E060"/>
    <w:rsid w:val="1718C2D3"/>
    <w:rsid w:val="171A72A0"/>
    <w:rsid w:val="1722C808"/>
    <w:rsid w:val="172FA876"/>
    <w:rsid w:val="173362A7"/>
    <w:rsid w:val="173AF956"/>
    <w:rsid w:val="173BCFBD"/>
    <w:rsid w:val="173F894F"/>
    <w:rsid w:val="1741FE9E"/>
    <w:rsid w:val="17449D7E"/>
    <w:rsid w:val="174B2C93"/>
    <w:rsid w:val="17536AD6"/>
    <w:rsid w:val="1753AE68"/>
    <w:rsid w:val="17553F52"/>
    <w:rsid w:val="175CF801"/>
    <w:rsid w:val="175D9051"/>
    <w:rsid w:val="175E0AC8"/>
    <w:rsid w:val="175EBCFF"/>
    <w:rsid w:val="17659991"/>
    <w:rsid w:val="17695B97"/>
    <w:rsid w:val="17715DA5"/>
    <w:rsid w:val="1771F5BF"/>
    <w:rsid w:val="1772EBAD"/>
    <w:rsid w:val="1773F1FB"/>
    <w:rsid w:val="1776FB98"/>
    <w:rsid w:val="17779F97"/>
    <w:rsid w:val="1778409F"/>
    <w:rsid w:val="1781A872"/>
    <w:rsid w:val="178E18C8"/>
    <w:rsid w:val="1796E4B7"/>
    <w:rsid w:val="179D69BB"/>
    <w:rsid w:val="17A0433A"/>
    <w:rsid w:val="17A1D2AE"/>
    <w:rsid w:val="17A43A61"/>
    <w:rsid w:val="17A65B44"/>
    <w:rsid w:val="17A857F0"/>
    <w:rsid w:val="17AB066A"/>
    <w:rsid w:val="17AF3165"/>
    <w:rsid w:val="17B725AD"/>
    <w:rsid w:val="17CAA2FC"/>
    <w:rsid w:val="17CB3173"/>
    <w:rsid w:val="17CC292F"/>
    <w:rsid w:val="17D115CA"/>
    <w:rsid w:val="17D20645"/>
    <w:rsid w:val="17D2779F"/>
    <w:rsid w:val="17D593AA"/>
    <w:rsid w:val="17DFDAEC"/>
    <w:rsid w:val="17E9F86E"/>
    <w:rsid w:val="17EB32E6"/>
    <w:rsid w:val="17EC1D07"/>
    <w:rsid w:val="17F0F191"/>
    <w:rsid w:val="17F74C52"/>
    <w:rsid w:val="17FA1C52"/>
    <w:rsid w:val="17FA3893"/>
    <w:rsid w:val="17FE9647"/>
    <w:rsid w:val="1802C3FC"/>
    <w:rsid w:val="18042E49"/>
    <w:rsid w:val="18047967"/>
    <w:rsid w:val="18064400"/>
    <w:rsid w:val="1817146B"/>
    <w:rsid w:val="181A82F7"/>
    <w:rsid w:val="1822FEDC"/>
    <w:rsid w:val="18251596"/>
    <w:rsid w:val="182DC4AB"/>
    <w:rsid w:val="18319078"/>
    <w:rsid w:val="1834036A"/>
    <w:rsid w:val="18379642"/>
    <w:rsid w:val="183825D0"/>
    <w:rsid w:val="18388756"/>
    <w:rsid w:val="18399C33"/>
    <w:rsid w:val="1853CF6C"/>
    <w:rsid w:val="1857539A"/>
    <w:rsid w:val="185899BA"/>
    <w:rsid w:val="18671A92"/>
    <w:rsid w:val="186B2426"/>
    <w:rsid w:val="1870BFF8"/>
    <w:rsid w:val="187261EC"/>
    <w:rsid w:val="18911504"/>
    <w:rsid w:val="1893D924"/>
    <w:rsid w:val="1894B85A"/>
    <w:rsid w:val="18954647"/>
    <w:rsid w:val="189595A1"/>
    <w:rsid w:val="189F2760"/>
    <w:rsid w:val="18A35DDA"/>
    <w:rsid w:val="18A85AC7"/>
    <w:rsid w:val="18A89E51"/>
    <w:rsid w:val="18A92A9F"/>
    <w:rsid w:val="18AC8DB1"/>
    <w:rsid w:val="18B1DE58"/>
    <w:rsid w:val="18B49499"/>
    <w:rsid w:val="18B53AC6"/>
    <w:rsid w:val="18C26D2A"/>
    <w:rsid w:val="18C836DC"/>
    <w:rsid w:val="18D98FEB"/>
    <w:rsid w:val="18DA6BBA"/>
    <w:rsid w:val="18E7A30E"/>
    <w:rsid w:val="18EC0172"/>
    <w:rsid w:val="18EF8F99"/>
    <w:rsid w:val="18F5C94A"/>
    <w:rsid w:val="1904BF5C"/>
    <w:rsid w:val="1908000D"/>
    <w:rsid w:val="19083D9D"/>
    <w:rsid w:val="190922BE"/>
    <w:rsid w:val="190A97B8"/>
    <w:rsid w:val="1912715F"/>
    <w:rsid w:val="19136319"/>
    <w:rsid w:val="19156488"/>
    <w:rsid w:val="1915BCB0"/>
    <w:rsid w:val="19164E6F"/>
    <w:rsid w:val="192364C0"/>
    <w:rsid w:val="192E3C65"/>
    <w:rsid w:val="1930F25D"/>
    <w:rsid w:val="19333B30"/>
    <w:rsid w:val="193CC56E"/>
    <w:rsid w:val="1947678A"/>
    <w:rsid w:val="1949288A"/>
    <w:rsid w:val="19549177"/>
    <w:rsid w:val="195FB21C"/>
    <w:rsid w:val="1962F6DE"/>
    <w:rsid w:val="19662BE0"/>
    <w:rsid w:val="1966D75D"/>
    <w:rsid w:val="1967C206"/>
    <w:rsid w:val="196CDD44"/>
    <w:rsid w:val="196FE61B"/>
    <w:rsid w:val="197027D1"/>
    <w:rsid w:val="19706A0C"/>
    <w:rsid w:val="1972CB7D"/>
    <w:rsid w:val="197DC22F"/>
    <w:rsid w:val="1984F4CD"/>
    <w:rsid w:val="1986B3B8"/>
    <w:rsid w:val="198A6123"/>
    <w:rsid w:val="198E6502"/>
    <w:rsid w:val="1991FB6F"/>
    <w:rsid w:val="1994181B"/>
    <w:rsid w:val="19946E9F"/>
    <w:rsid w:val="199ACA58"/>
    <w:rsid w:val="19A7F492"/>
    <w:rsid w:val="19AA8523"/>
    <w:rsid w:val="19AB6C77"/>
    <w:rsid w:val="19ABA6D3"/>
    <w:rsid w:val="19AC45ED"/>
    <w:rsid w:val="19B0A51B"/>
    <w:rsid w:val="19B0CEC4"/>
    <w:rsid w:val="19B45136"/>
    <w:rsid w:val="19B53260"/>
    <w:rsid w:val="19B997CF"/>
    <w:rsid w:val="19B9B8B2"/>
    <w:rsid w:val="19C07AC3"/>
    <w:rsid w:val="19CC3DC3"/>
    <w:rsid w:val="19CFB507"/>
    <w:rsid w:val="19D02313"/>
    <w:rsid w:val="19D25675"/>
    <w:rsid w:val="19D3B037"/>
    <w:rsid w:val="19D83A41"/>
    <w:rsid w:val="19DFC81D"/>
    <w:rsid w:val="19E5FC1D"/>
    <w:rsid w:val="19EA91F7"/>
    <w:rsid w:val="19F14FBC"/>
    <w:rsid w:val="19FFDEBD"/>
    <w:rsid w:val="1A0195C3"/>
    <w:rsid w:val="1A0B8C20"/>
    <w:rsid w:val="1A0CA267"/>
    <w:rsid w:val="1A0CB60A"/>
    <w:rsid w:val="1A0EA930"/>
    <w:rsid w:val="1A19384B"/>
    <w:rsid w:val="1A19F242"/>
    <w:rsid w:val="1A3157F6"/>
    <w:rsid w:val="1A317FF1"/>
    <w:rsid w:val="1A337F51"/>
    <w:rsid w:val="1A3A0B0B"/>
    <w:rsid w:val="1A3E0DF4"/>
    <w:rsid w:val="1A420E1D"/>
    <w:rsid w:val="1A443196"/>
    <w:rsid w:val="1A48D986"/>
    <w:rsid w:val="1A49FF8D"/>
    <w:rsid w:val="1A5064FA"/>
    <w:rsid w:val="1A5C3D2D"/>
    <w:rsid w:val="1A6BB7F4"/>
    <w:rsid w:val="1A70B4E1"/>
    <w:rsid w:val="1A74DE79"/>
    <w:rsid w:val="1A75341E"/>
    <w:rsid w:val="1A7C861A"/>
    <w:rsid w:val="1A807A99"/>
    <w:rsid w:val="1A835265"/>
    <w:rsid w:val="1A875844"/>
    <w:rsid w:val="1A8FCF0A"/>
    <w:rsid w:val="1A93C55D"/>
    <w:rsid w:val="1A99A4F2"/>
    <w:rsid w:val="1AA09833"/>
    <w:rsid w:val="1AB22F2C"/>
    <w:rsid w:val="1AB9284B"/>
    <w:rsid w:val="1AC25039"/>
    <w:rsid w:val="1AC6F678"/>
    <w:rsid w:val="1ACDC7E6"/>
    <w:rsid w:val="1ACE231D"/>
    <w:rsid w:val="1AD14C9E"/>
    <w:rsid w:val="1AD7760B"/>
    <w:rsid w:val="1ADACB36"/>
    <w:rsid w:val="1ADF6F1D"/>
    <w:rsid w:val="1ADFF955"/>
    <w:rsid w:val="1AE53353"/>
    <w:rsid w:val="1AE9BD4C"/>
    <w:rsid w:val="1AF53453"/>
    <w:rsid w:val="1AF6D8C6"/>
    <w:rsid w:val="1B0A40F4"/>
    <w:rsid w:val="1B0AD020"/>
    <w:rsid w:val="1B0B51C2"/>
    <w:rsid w:val="1B0CEC98"/>
    <w:rsid w:val="1B0EE0BB"/>
    <w:rsid w:val="1B101732"/>
    <w:rsid w:val="1B1390B6"/>
    <w:rsid w:val="1B1DF6B5"/>
    <w:rsid w:val="1B2C80A9"/>
    <w:rsid w:val="1B2F5774"/>
    <w:rsid w:val="1B3C2484"/>
    <w:rsid w:val="1B3ECB01"/>
    <w:rsid w:val="1B4EF10D"/>
    <w:rsid w:val="1B5C2CB3"/>
    <w:rsid w:val="1B606C0F"/>
    <w:rsid w:val="1B6148E4"/>
    <w:rsid w:val="1B617246"/>
    <w:rsid w:val="1B6177AF"/>
    <w:rsid w:val="1B64EFBC"/>
    <w:rsid w:val="1B66F050"/>
    <w:rsid w:val="1B7136E0"/>
    <w:rsid w:val="1B72A39C"/>
    <w:rsid w:val="1B74D285"/>
    <w:rsid w:val="1B757577"/>
    <w:rsid w:val="1B7ADDCE"/>
    <w:rsid w:val="1B7F569E"/>
    <w:rsid w:val="1B80A207"/>
    <w:rsid w:val="1B8108CC"/>
    <w:rsid w:val="1B815097"/>
    <w:rsid w:val="1B84B21A"/>
    <w:rsid w:val="1B84D21D"/>
    <w:rsid w:val="1B8803F3"/>
    <w:rsid w:val="1B8FCEB8"/>
    <w:rsid w:val="1B92FC1C"/>
    <w:rsid w:val="1B94468C"/>
    <w:rsid w:val="1B94CDAC"/>
    <w:rsid w:val="1B97B10C"/>
    <w:rsid w:val="1B98D737"/>
    <w:rsid w:val="1BA63C2F"/>
    <w:rsid w:val="1BBB5BD5"/>
    <w:rsid w:val="1BBE0C27"/>
    <w:rsid w:val="1BC0CC27"/>
    <w:rsid w:val="1BC2C0EE"/>
    <w:rsid w:val="1BC30683"/>
    <w:rsid w:val="1BC37E09"/>
    <w:rsid w:val="1BC3D313"/>
    <w:rsid w:val="1BD53A95"/>
    <w:rsid w:val="1BDABDA8"/>
    <w:rsid w:val="1BDDCC00"/>
    <w:rsid w:val="1BDF5EB5"/>
    <w:rsid w:val="1BE12F1E"/>
    <w:rsid w:val="1BF379C4"/>
    <w:rsid w:val="1BFC8771"/>
    <w:rsid w:val="1BFD5359"/>
    <w:rsid w:val="1BFEE644"/>
    <w:rsid w:val="1C03EAF1"/>
    <w:rsid w:val="1C042CE9"/>
    <w:rsid w:val="1C0BEF26"/>
    <w:rsid w:val="1C1E9752"/>
    <w:rsid w:val="1C23D495"/>
    <w:rsid w:val="1C240712"/>
    <w:rsid w:val="1C295CA3"/>
    <w:rsid w:val="1C2B4D73"/>
    <w:rsid w:val="1C2D1F55"/>
    <w:rsid w:val="1C2EAEE2"/>
    <w:rsid w:val="1C33B1BC"/>
    <w:rsid w:val="1C37C4AE"/>
    <w:rsid w:val="1C3F8CB0"/>
    <w:rsid w:val="1C48B8D4"/>
    <w:rsid w:val="1C4D1083"/>
    <w:rsid w:val="1C4EF737"/>
    <w:rsid w:val="1C524CCE"/>
    <w:rsid w:val="1C5424EA"/>
    <w:rsid w:val="1C54937F"/>
    <w:rsid w:val="1C54B5A8"/>
    <w:rsid w:val="1C568CCE"/>
    <w:rsid w:val="1C58FE4A"/>
    <w:rsid w:val="1C609B74"/>
    <w:rsid w:val="1C6488F6"/>
    <w:rsid w:val="1C64A6AB"/>
    <w:rsid w:val="1C65A9F7"/>
    <w:rsid w:val="1C689419"/>
    <w:rsid w:val="1C6AE21B"/>
    <w:rsid w:val="1C74A680"/>
    <w:rsid w:val="1C75832E"/>
    <w:rsid w:val="1C7748F7"/>
    <w:rsid w:val="1C79DECC"/>
    <w:rsid w:val="1C79F1F3"/>
    <w:rsid w:val="1C845858"/>
    <w:rsid w:val="1C88F6E8"/>
    <w:rsid w:val="1C8F4E09"/>
    <w:rsid w:val="1C93FDA3"/>
    <w:rsid w:val="1C9D0E07"/>
    <w:rsid w:val="1CA6AF8C"/>
    <w:rsid w:val="1CB18F7C"/>
    <w:rsid w:val="1CB60317"/>
    <w:rsid w:val="1CB7A50E"/>
    <w:rsid w:val="1CBA33EC"/>
    <w:rsid w:val="1CBFF37C"/>
    <w:rsid w:val="1CC21E8B"/>
    <w:rsid w:val="1CC5785B"/>
    <w:rsid w:val="1CC718D6"/>
    <w:rsid w:val="1CCB1B3A"/>
    <w:rsid w:val="1CCD2501"/>
    <w:rsid w:val="1CCD78BF"/>
    <w:rsid w:val="1CD2A47E"/>
    <w:rsid w:val="1CD95711"/>
    <w:rsid w:val="1CDA17F8"/>
    <w:rsid w:val="1CDCBA72"/>
    <w:rsid w:val="1CDD3AC7"/>
    <w:rsid w:val="1CDEAEBA"/>
    <w:rsid w:val="1CE04360"/>
    <w:rsid w:val="1CE65522"/>
    <w:rsid w:val="1CEE9082"/>
    <w:rsid w:val="1CEEAA6F"/>
    <w:rsid w:val="1CEEDE4F"/>
    <w:rsid w:val="1CEF1316"/>
    <w:rsid w:val="1CF243CE"/>
    <w:rsid w:val="1CF6510F"/>
    <w:rsid w:val="1CF81DB8"/>
    <w:rsid w:val="1CFC4791"/>
    <w:rsid w:val="1CFEDC1C"/>
    <w:rsid w:val="1D0428FB"/>
    <w:rsid w:val="1D051ED7"/>
    <w:rsid w:val="1D082504"/>
    <w:rsid w:val="1D0DAE6C"/>
    <w:rsid w:val="1D10610C"/>
    <w:rsid w:val="1D109EFE"/>
    <w:rsid w:val="1D139ED8"/>
    <w:rsid w:val="1D13F765"/>
    <w:rsid w:val="1D1508B4"/>
    <w:rsid w:val="1D168CA7"/>
    <w:rsid w:val="1D264AEB"/>
    <w:rsid w:val="1D268E0B"/>
    <w:rsid w:val="1D28299C"/>
    <w:rsid w:val="1D321622"/>
    <w:rsid w:val="1D336F70"/>
    <w:rsid w:val="1D3BB76D"/>
    <w:rsid w:val="1D3E065F"/>
    <w:rsid w:val="1D40F484"/>
    <w:rsid w:val="1D4688B0"/>
    <w:rsid w:val="1D474D94"/>
    <w:rsid w:val="1D522D7E"/>
    <w:rsid w:val="1D55A700"/>
    <w:rsid w:val="1D596C64"/>
    <w:rsid w:val="1D5BBC96"/>
    <w:rsid w:val="1D67BBD6"/>
    <w:rsid w:val="1D698F2F"/>
    <w:rsid w:val="1D7AA675"/>
    <w:rsid w:val="1D7EDC93"/>
    <w:rsid w:val="1D7F1F7D"/>
    <w:rsid w:val="1D80ED90"/>
    <w:rsid w:val="1D886EC3"/>
    <w:rsid w:val="1D8DF7F7"/>
    <w:rsid w:val="1D8E725C"/>
    <w:rsid w:val="1D974DC1"/>
    <w:rsid w:val="1D9B7247"/>
    <w:rsid w:val="1DA42AC8"/>
    <w:rsid w:val="1DA95442"/>
    <w:rsid w:val="1DB031B8"/>
    <w:rsid w:val="1DB73F09"/>
    <w:rsid w:val="1DB9F768"/>
    <w:rsid w:val="1DBB0150"/>
    <w:rsid w:val="1DC02BDE"/>
    <w:rsid w:val="1DC455DB"/>
    <w:rsid w:val="1DC9851E"/>
    <w:rsid w:val="1DD4A3DD"/>
    <w:rsid w:val="1DD95D33"/>
    <w:rsid w:val="1DDB1326"/>
    <w:rsid w:val="1DDCC7BF"/>
    <w:rsid w:val="1DDDDEC2"/>
    <w:rsid w:val="1DE3CD33"/>
    <w:rsid w:val="1DE7E031"/>
    <w:rsid w:val="1DF31135"/>
    <w:rsid w:val="1DF4CEAB"/>
    <w:rsid w:val="1DF90AA6"/>
    <w:rsid w:val="1DFA2E65"/>
    <w:rsid w:val="1DFD5EC4"/>
    <w:rsid w:val="1DFE32C0"/>
    <w:rsid w:val="1E0371DA"/>
    <w:rsid w:val="1E05CDAE"/>
    <w:rsid w:val="1E06656C"/>
    <w:rsid w:val="1E0AF763"/>
    <w:rsid w:val="1E0CD98C"/>
    <w:rsid w:val="1E0DB7FF"/>
    <w:rsid w:val="1E1059A7"/>
    <w:rsid w:val="1E18286D"/>
    <w:rsid w:val="1E1AEB98"/>
    <w:rsid w:val="1E24009F"/>
    <w:rsid w:val="1E27C1DC"/>
    <w:rsid w:val="1E29156C"/>
    <w:rsid w:val="1E2D4D36"/>
    <w:rsid w:val="1E305F47"/>
    <w:rsid w:val="1E3332CD"/>
    <w:rsid w:val="1E38DF8D"/>
    <w:rsid w:val="1E3A8DC8"/>
    <w:rsid w:val="1E3B4C6B"/>
    <w:rsid w:val="1E3DC71F"/>
    <w:rsid w:val="1E402578"/>
    <w:rsid w:val="1E42566A"/>
    <w:rsid w:val="1E476B1C"/>
    <w:rsid w:val="1E4AA31C"/>
    <w:rsid w:val="1E56EEE9"/>
    <w:rsid w:val="1E570609"/>
    <w:rsid w:val="1E5C6D34"/>
    <w:rsid w:val="1E60B2B6"/>
    <w:rsid w:val="1E6A135A"/>
    <w:rsid w:val="1E6F22A2"/>
    <w:rsid w:val="1E7243AE"/>
    <w:rsid w:val="1E758414"/>
    <w:rsid w:val="1E7B3E57"/>
    <w:rsid w:val="1E81C46D"/>
    <w:rsid w:val="1E99A37C"/>
    <w:rsid w:val="1E9F81A5"/>
    <w:rsid w:val="1EA1FFEA"/>
    <w:rsid w:val="1EADF414"/>
    <w:rsid w:val="1EB5C8DF"/>
    <w:rsid w:val="1EB872DF"/>
    <w:rsid w:val="1EBD701E"/>
    <w:rsid w:val="1EC3522F"/>
    <w:rsid w:val="1ED18DEC"/>
    <w:rsid w:val="1ED893B6"/>
    <w:rsid w:val="1EDD2EB4"/>
    <w:rsid w:val="1EDD69A3"/>
    <w:rsid w:val="1EDE1B4C"/>
    <w:rsid w:val="1EE2C6BB"/>
    <w:rsid w:val="1EE75062"/>
    <w:rsid w:val="1EEB64AC"/>
    <w:rsid w:val="1EED55E2"/>
    <w:rsid w:val="1EEF06AC"/>
    <w:rsid w:val="1EF03030"/>
    <w:rsid w:val="1EF723C3"/>
    <w:rsid w:val="1F04A9E1"/>
    <w:rsid w:val="1F04DBE4"/>
    <w:rsid w:val="1F058928"/>
    <w:rsid w:val="1F1253F8"/>
    <w:rsid w:val="1F16A868"/>
    <w:rsid w:val="1F1711B7"/>
    <w:rsid w:val="1F1CA1F0"/>
    <w:rsid w:val="1F202A3E"/>
    <w:rsid w:val="1F211031"/>
    <w:rsid w:val="1F22A406"/>
    <w:rsid w:val="1F354F46"/>
    <w:rsid w:val="1F374C07"/>
    <w:rsid w:val="1F3D3E98"/>
    <w:rsid w:val="1F3E6F44"/>
    <w:rsid w:val="1F4A4470"/>
    <w:rsid w:val="1F4DDC41"/>
    <w:rsid w:val="1F59E74D"/>
    <w:rsid w:val="1F5B7952"/>
    <w:rsid w:val="1F604061"/>
    <w:rsid w:val="1F65634D"/>
    <w:rsid w:val="1F6749C6"/>
    <w:rsid w:val="1F6DF028"/>
    <w:rsid w:val="1F76021C"/>
    <w:rsid w:val="1F843851"/>
    <w:rsid w:val="1F8B65E1"/>
    <w:rsid w:val="1F909E3D"/>
    <w:rsid w:val="1F909F0C"/>
    <w:rsid w:val="1F920F18"/>
    <w:rsid w:val="1F96A2CE"/>
    <w:rsid w:val="1F99089A"/>
    <w:rsid w:val="1F994ABA"/>
    <w:rsid w:val="1F9B5FA0"/>
    <w:rsid w:val="1F9D3DDF"/>
    <w:rsid w:val="1F9F5D34"/>
    <w:rsid w:val="1FA41178"/>
    <w:rsid w:val="1FA79DC9"/>
    <w:rsid w:val="1FA97482"/>
    <w:rsid w:val="1FA99F46"/>
    <w:rsid w:val="1FB5F863"/>
    <w:rsid w:val="1FB7F273"/>
    <w:rsid w:val="1FB84AEE"/>
    <w:rsid w:val="1FBB38F0"/>
    <w:rsid w:val="1FC19FAB"/>
    <w:rsid w:val="1FC23E19"/>
    <w:rsid w:val="1FC32BB7"/>
    <w:rsid w:val="1FC6767A"/>
    <w:rsid w:val="1FCBE874"/>
    <w:rsid w:val="1FCEC36B"/>
    <w:rsid w:val="1FD3A2A0"/>
    <w:rsid w:val="1FD5099E"/>
    <w:rsid w:val="1FD5318E"/>
    <w:rsid w:val="1FE04C96"/>
    <w:rsid w:val="1FE635EA"/>
    <w:rsid w:val="1FED9A00"/>
    <w:rsid w:val="1FEE1D7E"/>
    <w:rsid w:val="1FEF75AE"/>
    <w:rsid w:val="1FF31668"/>
    <w:rsid w:val="1FF3CCE6"/>
    <w:rsid w:val="1FFD296C"/>
    <w:rsid w:val="2005CB21"/>
    <w:rsid w:val="2007D33A"/>
    <w:rsid w:val="200DAC2F"/>
    <w:rsid w:val="200E0693"/>
    <w:rsid w:val="201122DC"/>
    <w:rsid w:val="20138700"/>
    <w:rsid w:val="2015FF52"/>
    <w:rsid w:val="2016D358"/>
    <w:rsid w:val="20180A25"/>
    <w:rsid w:val="201D744B"/>
    <w:rsid w:val="2021DC26"/>
    <w:rsid w:val="20244C5D"/>
    <w:rsid w:val="20268ACA"/>
    <w:rsid w:val="202699C7"/>
    <w:rsid w:val="2026AC16"/>
    <w:rsid w:val="202B1EDA"/>
    <w:rsid w:val="2031B5B8"/>
    <w:rsid w:val="20373FD9"/>
    <w:rsid w:val="203CF2CE"/>
    <w:rsid w:val="20426D34"/>
    <w:rsid w:val="2042BB4C"/>
    <w:rsid w:val="2048452C"/>
    <w:rsid w:val="2049B4EF"/>
    <w:rsid w:val="204BE1C0"/>
    <w:rsid w:val="204FF117"/>
    <w:rsid w:val="20554DEC"/>
    <w:rsid w:val="205799BA"/>
    <w:rsid w:val="2063EAB6"/>
    <w:rsid w:val="2064B0D5"/>
    <w:rsid w:val="206C3321"/>
    <w:rsid w:val="207302CE"/>
    <w:rsid w:val="207820FC"/>
    <w:rsid w:val="20808830"/>
    <w:rsid w:val="20938349"/>
    <w:rsid w:val="209634B8"/>
    <w:rsid w:val="209AE2E3"/>
    <w:rsid w:val="209D2E1D"/>
    <w:rsid w:val="209E5999"/>
    <w:rsid w:val="20AAA91B"/>
    <w:rsid w:val="20AAFBFC"/>
    <w:rsid w:val="20AB5A32"/>
    <w:rsid w:val="20ACB2BB"/>
    <w:rsid w:val="20AF58C9"/>
    <w:rsid w:val="20BCF6E5"/>
    <w:rsid w:val="20C36D22"/>
    <w:rsid w:val="20C3F518"/>
    <w:rsid w:val="20C5FB55"/>
    <w:rsid w:val="20D1C042"/>
    <w:rsid w:val="20D2A967"/>
    <w:rsid w:val="20E0D6FD"/>
    <w:rsid w:val="20E1BA15"/>
    <w:rsid w:val="20E1E663"/>
    <w:rsid w:val="20E44EAC"/>
    <w:rsid w:val="20E8EDED"/>
    <w:rsid w:val="20F300F4"/>
    <w:rsid w:val="20F43D1E"/>
    <w:rsid w:val="20F5E081"/>
    <w:rsid w:val="20F77835"/>
    <w:rsid w:val="20F863F7"/>
    <w:rsid w:val="20FAA73A"/>
    <w:rsid w:val="20FD6675"/>
    <w:rsid w:val="20FF53C9"/>
    <w:rsid w:val="20FFE47C"/>
    <w:rsid w:val="21034A09"/>
    <w:rsid w:val="21108C51"/>
    <w:rsid w:val="211C02F7"/>
    <w:rsid w:val="2122D9FE"/>
    <w:rsid w:val="2124BBA2"/>
    <w:rsid w:val="21282F1E"/>
    <w:rsid w:val="212C8879"/>
    <w:rsid w:val="2130F030"/>
    <w:rsid w:val="21375878"/>
    <w:rsid w:val="2139283F"/>
    <w:rsid w:val="213AE373"/>
    <w:rsid w:val="21455DCB"/>
    <w:rsid w:val="21477E10"/>
    <w:rsid w:val="21488831"/>
    <w:rsid w:val="21495E21"/>
    <w:rsid w:val="214FDB85"/>
    <w:rsid w:val="2159E318"/>
    <w:rsid w:val="21688A37"/>
    <w:rsid w:val="216E9AEF"/>
    <w:rsid w:val="216FC94D"/>
    <w:rsid w:val="21844800"/>
    <w:rsid w:val="21867BF3"/>
    <w:rsid w:val="218AD2C4"/>
    <w:rsid w:val="218B36B8"/>
    <w:rsid w:val="218B37FF"/>
    <w:rsid w:val="218CADFF"/>
    <w:rsid w:val="218E9FE3"/>
    <w:rsid w:val="218F7589"/>
    <w:rsid w:val="21965904"/>
    <w:rsid w:val="2198DBD8"/>
    <w:rsid w:val="219C2776"/>
    <w:rsid w:val="21A54186"/>
    <w:rsid w:val="21A5F88B"/>
    <w:rsid w:val="21A80E6B"/>
    <w:rsid w:val="21AA6C10"/>
    <w:rsid w:val="21AAECB1"/>
    <w:rsid w:val="21AD392C"/>
    <w:rsid w:val="21B8B454"/>
    <w:rsid w:val="21BEE61C"/>
    <w:rsid w:val="21BFE3F0"/>
    <w:rsid w:val="21C874EA"/>
    <w:rsid w:val="21CDEF5B"/>
    <w:rsid w:val="21D0E066"/>
    <w:rsid w:val="21D631D4"/>
    <w:rsid w:val="21D671D1"/>
    <w:rsid w:val="21DC8412"/>
    <w:rsid w:val="21E7EDF8"/>
    <w:rsid w:val="21ECEBAB"/>
    <w:rsid w:val="21F0FE52"/>
    <w:rsid w:val="21F4A03E"/>
    <w:rsid w:val="21F76F73"/>
    <w:rsid w:val="21FC6D82"/>
    <w:rsid w:val="220015B3"/>
    <w:rsid w:val="220564C2"/>
    <w:rsid w:val="220AD740"/>
    <w:rsid w:val="22104757"/>
    <w:rsid w:val="2213DDB5"/>
    <w:rsid w:val="221741FA"/>
    <w:rsid w:val="2218C0D4"/>
    <w:rsid w:val="221F9A8D"/>
    <w:rsid w:val="22245DA4"/>
    <w:rsid w:val="2225AFB2"/>
    <w:rsid w:val="22292BC6"/>
    <w:rsid w:val="222D4650"/>
    <w:rsid w:val="223104BF"/>
    <w:rsid w:val="223A29FA"/>
    <w:rsid w:val="223DCA94"/>
    <w:rsid w:val="223FF11A"/>
    <w:rsid w:val="22445D07"/>
    <w:rsid w:val="224487EE"/>
    <w:rsid w:val="22468E00"/>
    <w:rsid w:val="224E2D30"/>
    <w:rsid w:val="224F8160"/>
    <w:rsid w:val="2253BA1F"/>
    <w:rsid w:val="2259F0BA"/>
    <w:rsid w:val="22658B55"/>
    <w:rsid w:val="226A8155"/>
    <w:rsid w:val="226F6DD8"/>
    <w:rsid w:val="22705182"/>
    <w:rsid w:val="22764FCD"/>
    <w:rsid w:val="227A4C68"/>
    <w:rsid w:val="227E2F11"/>
    <w:rsid w:val="22911DBA"/>
    <w:rsid w:val="229323B4"/>
    <w:rsid w:val="2296E6A4"/>
    <w:rsid w:val="22983273"/>
    <w:rsid w:val="22A29183"/>
    <w:rsid w:val="22A807FB"/>
    <w:rsid w:val="22B038E2"/>
    <w:rsid w:val="22B1D06C"/>
    <w:rsid w:val="22B91F80"/>
    <w:rsid w:val="22CBDE5E"/>
    <w:rsid w:val="22CD128E"/>
    <w:rsid w:val="22D02C72"/>
    <w:rsid w:val="22D5500E"/>
    <w:rsid w:val="22DB077B"/>
    <w:rsid w:val="22DEFE64"/>
    <w:rsid w:val="22E87E0F"/>
    <w:rsid w:val="22EDCDD0"/>
    <w:rsid w:val="22FCC29F"/>
    <w:rsid w:val="22FF591D"/>
    <w:rsid w:val="2307BCE3"/>
    <w:rsid w:val="2309803A"/>
    <w:rsid w:val="230DA85A"/>
    <w:rsid w:val="2312AC9F"/>
    <w:rsid w:val="231300A1"/>
    <w:rsid w:val="2314CB6A"/>
    <w:rsid w:val="23154FDC"/>
    <w:rsid w:val="23170A17"/>
    <w:rsid w:val="231D2C91"/>
    <w:rsid w:val="232006BA"/>
    <w:rsid w:val="2325BE40"/>
    <w:rsid w:val="232B45EA"/>
    <w:rsid w:val="232FDE57"/>
    <w:rsid w:val="2330B163"/>
    <w:rsid w:val="23314D25"/>
    <w:rsid w:val="2337FF02"/>
    <w:rsid w:val="233D3D19"/>
    <w:rsid w:val="233F33FA"/>
    <w:rsid w:val="2340C0C6"/>
    <w:rsid w:val="2345FC65"/>
    <w:rsid w:val="23492C5F"/>
    <w:rsid w:val="234B485B"/>
    <w:rsid w:val="234B5CBA"/>
    <w:rsid w:val="234D9A02"/>
    <w:rsid w:val="2353739E"/>
    <w:rsid w:val="23538128"/>
    <w:rsid w:val="23575E9A"/>
    <w:rsid w:val="2357F944"/>
    <w:rsid w:val="235E0EB7"/>
    <w:rsid w:val="2362F2A7"/>
    <w:rsid w:val="2367BE7A"/>
    <w:rsid w:val="23694D83"/>
    <w:rsid w:val="236AFF6B"/>
    <w:rsid w:val="236C4AEE"/>
    <w:rsid w:val="236C9BFB"/>
    <w:rsid w:val="236F8362"/>
    <w:rsid w:val="237A18B8"/>
    <w:rsid w:val="238434A3"/>
    <w:rsid w:val="2385FFBA"/>
    <w:rsid w:val="238E0AC6"/>
    <w:rsid w:val="2390BD70"/>
    <w:rsid w:val="23A9129E"/>
    <w:rsid w:val="23A998EE"/>
    <w:rsid w:val="23AC2B94"/>
    <w:rsid w:val="23AD17AC"/>
    <w:rsid w:val="23B0B94D"/>
    <w:rsid w:val="23B3125B"/>
    <w:rsid w:val="23B50FC4"/>
    <w:rsid w:val="23CC6186"/>
    <w:rsid w:val="23CEC6E6"/>
    <w:rsid w:val="23D84848"/>
    <w:rsid w:val="23E2FD4F"/>
    <w:rsid w:val="23E4537D"/>
    <w:rsid w:val="23E78D82"/>
    <w:rsid w:val="23E7B004"/>
    <w:rsid w:val="23E88888"/>
    <w:rsid w:val="23E8E1CF"/>
    <w:rsid w:val="23EC4103"/>
    <w:rsid w:val="23F1858A"/>
    <w:rsid w:val="23F47459"/>
    <w:rsid w:val="2408E9B2"/>
    <w:rsid w:val="24090A92"/>
    <w:rsid w:val="2411F51A"/>
    <w:rsid w:val="241593D9"/>
    <w:rsid w:val="2415BBEE"/>
    <w:rsid w:val="2415F45A"/>
    <w:rsid w:val="241873AC"/>
    <w:rsid w:val="241C353B"/>
    <w:rsid w:val="241CC5AA"/>
    <w:rsid w:val="241D8C38"/>
    <w:rsid w:val="2422B22B"/>
    <w:rsid w:val="24242301"/>
    <w:rsid w:val="242B0BBC"/>
    <w:rsid w:val="242B54DE"/>
    <w:rsid w:val="242B734A"/>
    <w:rsid w:val="242D4BED"/>
    <w:rsid w:val="2436F48B"/>
    <w:rsid w:val="243CF464"/>
    <w:rsid w:val="243D3CD6"/>
    <w:rsid w:val="244382E2"/>
    <w:rsid w:val="24561266"/>
    <w:rsid w:val="245CA175"/>
    <w:rsid w:val="245E7082"/>
    <w:rsid w:val="2469327F"/>
    <w:rsid w:val="246A7802"/>
    <w:rsid w:val="246C46DB"/>
    <w:rsid w:val="246DD4A4"/>
    <w:rsid w:val="247323F8"/>
    <w:rsid w:val="2474CBA7"/>
    <w:rsid w:val="247748C0"/>
    <w:rsid w:val="247AF6E6"/>
    <w:rsid w:val="247BA413"/>
    <w:rsid w:val="247E2AFD"/>
    <w:rsid w:val="2480A8F1"/>
    <w:rsid w:val="2488A17C"/>
    <w:rsid w:val="248B39C8"/>
    <w:rsid w:val="248F076B"/>
    <w:rsid w:val="24903B7E"/>
    <w:rsid w:val="249054E7"/>
    <w:rsid w:val="24939565"/>
    <w:rsid w:val="24973ABE"/>
    <w:rsid w:val="24989C37"/>
    <w:rsid w:val="2498C6DA"/>
    <w:rsid w:val="249A0F74"/>
    <w:rsid w:val="249C405F"/>
    <w:rsid w:val="249D6D87"/>
    <w:rsid w:val="24A834D8"/>
    <w:rsid w:val="24B344C5"/>
    <w:rsid w:val="24B68368"/>
    <w:rsid w:val="24BAC4B6"/>
    <w:rsid w:val="24BED961"/>
    <w:rsid w:val="24C0D746"/>
    <w:rsid w:val="24C1E4BE"/>
    <w:rsid w:val="24C4C29C"/>
    <w:rsid w:val="24C5FA5B"/>
    <w:rsid w:val="24C90407"/>
    <w:rsid w:val="24E45651"/>
    <w:rsid w:val="24E942C2"/>
    <w:rsid w:val="24EE48F2"/>
    <w:rsid w:val="24EFC07F"/>
    <w:rsid w:val="24EFDB34"/>
    <w:rsid w:val="24F124B5"/>
    <w:rsid w:val="24F3C835"/>
    <w:rsid w:val="24F6DD28"/>
    <w:rsid w:val="24FFE7CC"/>
    <w:rsid w:val="25004C64"/>
    <w:rsid w:val="2501059C"/>
    <w:rsid w:val="2514628E"/>
    <w:rsid w:val="25152E64"/>
    <w:rsid w:val="251C9502"/>
    <w:rsid w:val="251E8974"/>
    <w:rsid w:val="25232599"/>
    <w:rsid w:val="252D4A18"/>
    <w:rsid w:val="253253A9"/>
    <w:rsid w:val="2535FDEC"/>
    <w:rsid w:val="25385E9A"/>
    <w:rsid w:val="253DD2E9"/>
    <w:rsid w:val="254AFC33"/>
    <w:rsid w:val="254B30A3"/>
    <w:rsid w:val="254B6E64"/>
    <w:rsid w:val="254CC409"/>
    <w:rsid w:val="2551E07B"/>
    <w:rsid w:val="25586A56"/>
    <w:rsid w:val="255AF04C"/>
    <w:rsid w:val="255E9210"/>
    <w:rsid w:val="255EF44E"/>
    <w:rsid w:val="25613F92"/>
    <w:rsid w:val="2562D56C"/>
    <w:rsid w:val="2563CF29"/>
    <w:rsid w:val="25697EA4"/>
    <w:rsid w:val="256B0935"/>
    <w:rsid w:val="256DCA23"/>
    <w:rsid w:val="2572BCA5"/>
    <w:rsid w:val="257EE405"/>
    <w:rsid w:val="257F489E"/>
    <w:rsid w:val="25811D19"/>
    <w:rsid w:val="25827380"/>
    <w:rsid w:val="258C2829"/>
    <w:rsid w:val="25916F15"/>
    <w:rsid w:val="2597C053"/>
    <w:rsid w:val="2598480C"/>
    <w:rsid w:val="25A4DAF3"/>
    <w:rsid w:val="25AC2B69"/>
    <w:rsid w:val="25ACFDB9"/>
    <w:rsid w:val="25AE41AB"/>
    <w:rsid w:val="25B69A6D"/>
    <w:rsid w:val="25B98DBE"/>
    <w:rsid w:val="25C04AE3"/>
    <w:rsid w:val="25CB2A09"/>
    <w:rsid w:val="25D2F73D"/>
    <w:rsid w:val="25D496B2"/>
    <w:rsid w:val="25D855B2"/>
    <w:rsid w:val="25DC959B"/>
    <w:rsid w:val="25E64E62"/>
    <w:rsid w:val="25EDBA21"/>
    <w:rsid w:val="25EFCF64"/>
    <w:rsid w:val="25FFF99C"/>
    <w:rsid w:val="2600BB60"/>
    <w:rsid w:val="260CF371"/>
    <w:rsid w:val="260E077D"/>
    <w:rsid w:val="261222BD"/>
    <w:rsid w:val="261C1DB1"/>
    <w:rsid w:val="2625F74C"/>
    <w:rsid w:val="26262B0F"/>
    <w:rsid w:val="262733F7"/>
    <w:rsid w:val="26296EFF"/>
    <w:rsid w:val="262F26BD"/>
    <w:rsid w:val="26302A4D"/>
    <w:rsid w:val="26320F00"/>
    <w:rsid w:val="26411D87"/>
    <w:rsid w:val="264431B7"/>
    <w:rsid w:val="26455832"/>
    <w:rsid w:val="2648EFCD"/>
    <w:rsid w:val="26495A37"/>
    <w:rsid w:val="264CFD18"/>
    <w:rsid w:val="264EF1FB"/>
    <w:rsid w:val="264F876B"/>
    <w:rsid w:val="264FD7FC"/>
    <w:rsid w:val="265356B9"/>
    <w:rsid w:val="26593567"/>
    <w:rsid w:val="265C8B7A"/>
    <w:rsid w:val="265DC085"/>
    <w:rsid w:val="265F0021"/>
    <w:rsid w:val="2660CFFA"/>
    <w:rsid w:val="26688CD3"/>
    <w:rsid w:val="266C6F7D"/>
    <w:rsid w:val="266CE7CF"/>
    <w:rsid w:val="2670CDF8"/>
    <w:rsid w:val="26714821"/>
    <w:rsid w:val="2676D086"/>
    <w:rsid w:val="2687601B"/>
    <w:rsid w:val="268A9FD3"/>
    <w:rsid w:val="268F4A6E"/>
    <w:rsid w:val="268F9896"/>
    <w:rsid w:val="2690F4B6"/>
    <w:rsid w:val="2698752E"/>
    <w:rsid w:val="269AE81C"/>
    <w:rsid w:val="269FCD12"/>
    <w:rsid w:val="26A291BC"/>
    <w:rsid w:val="26A43CBD"/>
    <w:rsid w:val="26A4BCBB"/>
    <w:rsid w:val="26ADE8FF"/>
    <w:rsid w:val="26AFD9D0"/>
    <w:rsid w:val="26B0472B"/>
    <w:rsid w:val="26B1C478"/>
    <w:rsid w:val="26B27331"/>
    <w:rsid w:val="26B2B3DA"/>
    <w:rsid w:val="26B38100"/>
    <w:rsid w:val="26B4DD94"/>
    <w:rsid w:val="26BF8887"/>
    <w:rsid w:val="26C5606F"/>
    <w:rsid w:val="26CBE997"/>
    <w:rsid w:val="26CD4927"/>
    <w:rsid w:val="26D4355F"/>
    <w:rsid w:val="26D77D67"/>
    <w:rsid w:val="26DF0BD3"/>
    <w:rsid w:val="26E54102"/>
    <w:rsid w:val="26E64730"/>
    <w:rsid w:val="26F211C9"/>
    <w:rsid w:val="26F300E7"/>
    <w:rsid w:val="26F42E06"/>
    <w:rsid w:val="2702190E"/>
    <w:rsid w:val="27026035"/>
    <w:rsid w:val="2703689F"/>
    <w:rsid w:val="270624D8"/>
    <w:rsid w:val="27095E80"/>
    <w:rsid w:val="270D8565"/>
    <w:rsid w:val="270DE9F8"/>
    <w:rsid w:val="270FAA99"/>
    <w:rsid w:val="2711E217"/>
    <w:rsid w:val="2712FF7F"/>
    <w:rsid w:val="271743A7"/>
    <w:rsid w:val="271E02B3"/>
    <w:rsid w:val="27234F33"/>
    <w:rsid w:val="2730AFB5"/>
    <w:rsid w:val="27435A0B"/>
    <w:rsid w:val="27449FB6"/>
    <w:rsid w:val="27469BAC"/>
    <w:rsid w:val="2748EA30"/>
    <w:rsid w:val="2748F776"/>
    <w:rsid w:val="274DFC85"/>
    <w:rsid w:val="27535B1D"/>
    <w:rsid w:val="2753BC99"/>
    <w:rsid w:val="275A4965"/>
    <w:rsid w:val="275C3082"/>
    <w:rsid w:val="2761F6F6"/>
    <w:rsid w:val="27727A81"/>
    <w:rsid w:val="2772F458"/>
    <w:rsid w:val="27733990"/>
    <w:rsid w:val="277410C7"/>
    <w:rsid w:val="2778D791"/>
    <w:rsid w:val="277D09CE"/>
    <w:rsid w:val="27814C68"/>
    <w:rsid w:val="278182D9"/>
    <w:rsid w:val="27832C83"/>
    <w:rsid w:val="27889401"/>
    <w:rsid w:val="27985503"/>
    <w:rsid w:val="279BC9FD"/>
    <w:rsid w:val="279D9BB0"/>
    <w:rsid w:val="27A42788"/>
    <w:rsid w:val="27A67051"/>
    <w:rsid w:val="27AC732A"/>
    <w:rsid w:val="27AE2BF7"/>
    <w:rsid w:val="27B3077F"/>
    <w:rsid w:val="27BA59B4"/>
    <w:rsid w:val="27BB9E6D"/>
    <w:rsid w:val="27BE8022"/>
    <w:rsid w:val="27BFDB98"/>
    <w:rsid w:val="27C41932"/>
    <w:rsid w:val="27CBB6CD"/>
    <w:rsid w:val="27ED9E1B"/>
    <w:rsid w:val="27F33C4C"/>
    <w:rsid w:val="27FEC33C"/>
    <w:rsid w:val="28011C8A"/>
    <w:rsid w:val="280535D9"/>
    <w:rsid w:val="280979AA"/>
    <w:rsid w:val="280CE3FC"/>
    <w:rsid w:val="280CF660"/>
    <w:rsid w:val="280E1057"/>
    <w:rsid w:val="280FA4FD"/>
    <w:rsid w:val="281AE23C"/>
    <w:rsid w:val="281B2D2C"/>
    <w:rsid w:val="28239D5E"/>
    <w:rsid w:val="2828F242"/>
    <w:rsid w:val="282D14BB"/>
    <w:rsid w:val="28309CCB"/>
    <w:rsid w:val="2831C476"/>
    <w:rsid w:val="2832B7AB"/>
    <w:rsid w:val="2833F1B3"/>
    <w:rsid w:val="28341438"/>
    <w:rsid w:val="2837ED3A"/>
    <w:rsid w:val="284085C2"/>
    <w:rsid w:val="28487348"/>
    <w:rsid w:val="284B0949"/>
    <w:rsid w:val="284BF84E"/>
    <w:rsid w:val="284D9480"/>
    <w:rsid w:val="284E1C0E"/>
    <w:rsid w:val="285290EA"/>
    <w:rsid w:val="28543398"/>
    <w:rsid w:val="2854BD9F"/>
    <w:rsid w:val="285E9C5F"/>
    <w:rsid w:val="28607B80"/>
    <w:rsid w:val="28608413"/>
    <w:rsid w:val="2862090C"/>
    <w:rsid w:val="286974E1"/>
    <w:rsid w:val="2872B3DD"/>
    <w:rsid w:val="2874923F"/>
    <w:rsid w:val="2878E675"/>
    <w:rsid w:val="287EC0A3"/>
    <w:rsid w:val="287FC548"/>
    <w:rsid w:val="2880FE9F"/>
    <w:rsid w:val="28830F26"/>
    <w:rsid w:val="288FDB0E"/>
    <w:rsid w:val="2890EA1F"/>
    <w:rsid w:val="289C7CE0"/>
    <w:rsid w:val="289CD2E3"/>
    <w:rsid w:val="28A38974"/>
    <w:rsid w:val="28A70AD3"/>
    <w:rsid w:val="28B7D519"/>
    <w:rsid w:val="28BEEB56"/>
    <w:rsid w:val="28C0F73D"/>
    <w:rsid w:val="28CB888E"/>
    <w:rsid w:val="28CEDEB6"/>
    <w:rsid w:val="28D172D7"/>
    <w:rsid w:val="28E5EFDC"/>
    <w:rsid w:val="28ECA95E"/>
    <w:rsid w:val="28F22E93"/>
    <w:rsid w:val="28F2B049"/>
    <w:rsid w:val="28F34D9D"/>
    <w:rsid w:val="28F8AA0D"/>
    <w:rsid w:val="29022EF4"/>
    <w:rsid w:val="2905AD2E"/>
    <w:rsid w:val="290F4171"/>
    <w:rsid w:val="2917FB77"/>
    <w:rsid w:val="291D9D75"/>
    <w:rsid w:val="291DC64C"/>
    <w:rsid w:val="291F7229"/>
    <w:rsid w:val="292B6377"/>
    <w:rsid w:val="292EE63E"/>
    <w:rsid w:val="29351D23"/>
    <w:rsid w:val="29397D70"/>
    <w:rsid w:val="2944C616"/>
    <w:rsid w:val="2946509D"/>
    <w:rsid w:val="294ACDA2"/>
    <w:rsid w:val="2960498F"/>
    <w:rsid w:val="2962A124"/>
    <w:rsid w:val="2966FDB1"/>
    <w:rsid w:val="2967BF94"/>
    <w:rsid w:val="296C36E8"/>
    <w:rsid w:val="297737BE"/>
    <w:rsid w:val="2977976A"/>
    <w:rsid w:val="29840CEE"/>
    <w:rsid w:val="298C40FE"/>
    <w:rsid w:val="298CD6FD"/>
    <w:rsid w:val="298E1FE2"/>
    <w:rsid w:val="29993A73"/>
    <w:rsid w:val="299DDBF6"/>
    <w:rsid w:val="29A12A80"/>
    <w:rsid w:val="29AD796F"/>
    <w:rsid w:val="29B3252A"/>
    <w:rsid w:val="29BCC728"/>
    <w:rsid w:val="29C032C1"/>
    <w:rsid w:val="29C44E41"/>
    <w:rsid w:val="29C4ADEC"/>
    <w:rsid w:val="29C8F838"/>
    <w:rsid w:val="29C9E91E"/>
    <w:rsid w:val="29CAC61B"/>
    <w:rsid w:val="29DD84E5"/>
    <w:rsid w:val="29E7D3B1"/>
    <w:rsid w:val="29E96705"/>
    <w:rsid w:val="29EBADF0"/>
    <w:rsid w:val="29F35F00"/>
    <w:rsid w:val="29F52861"/>
    <w:rsid w:val="29F53584"/>
    <w:rsid w:val="29FD4431"/>
    <w:rsid w:val="29FFAA2A"/>
    <w:rsid w:val="2A0216FF"/>
    <w:rsid w:val="2A052BCF"/>
    <w:rsid w:val="2A072231"/>
    <w:rsid w:val="2A0875EB"/>
    <w:rsid w:val="2A0ED6D0"/>
    <w:rsid w:val="2A136002"/>
    <w:rsid w:val="2A14184D"/>
    <w:rsid w:val="2A14F818"/>
    <w:rsid w:val="2A1EDF87"/>
    <w:rsid w:val="2A2DE8AD"/>
    <w:rsid w:val="2A2E1C9B"/>
    <w:rsid w:val="2A30F78E"/>
    <w:rsid w:val="2A343F24"/>
    <w:rsid w:val="2A37796F"/>
    <w:rsid w:val="2A37822D"/>
    <w:rsid w:val="2A3825EA"/>
    <w:rsid w:val="2A3BC58F"/>
    <w:rsid w:val="2A3C893E"/>
    <w:rsid w:val="2A437FFE"/>
    <w:rsid w:val="2A4845A1"/>
    <w:rsid w:val="2A4C24C4"/>
    <w:rsid w:val="2A4F55AD"/>
    <w:rsid w:val="2A578DBF"/>
    <w:rsid w:val="2A593C4E"/>
    <w:rsid w:val="2A5B8287"/>
    <w:rsid w:val="2A5C6DB9"/>
    <w:rsid w:val="2A5CA19B"/>
    <w:rsid w:val="2A5CA521"/>
    <w:rsid w:val="2A6180E6"/>
    <w:rsid w:val="2A62C2C4"/>
    <w:rsid w:val="2A6E5B3B"/>
    <w:rsid w:val="2A72CF21"/>
    <w:rsid w:val="2A7615BC"/>
    <w:rsid w:val="2A786F29"/>
    <w:rsid w:val="2A7A0E8E"/>
    <w:rsid w:val="2A7F6739"/>
    <w:rsid w:val="2A7F6A3F"/>
    <w:rsid w:val="2A80DB23"/>
    <w:rsid w:val="2A855A86"/>
    <w:rsid w:val="2A896803"/>
    <w:rsid w:val="2A8B568A"/>
    <w:rsid w:val="2A9005BC"/>
    <w:rsid w:val="2A907C9E"/>
    <w:rsid w:val="2A917473"/>
    <w:rsid w:val="2A9BF996"/>
    <w:rsid w:val="2AB33564"/>
    <w:rsid w:val="2AB81B5C"/>
    <w:rsid w:val="2AB9517F"/>
    <w:rsid w:val="2ABD9001"/>
    <w:rsid w:val="2AC4D203"/>
    <w:rsid w:val="2AC749F7"/>
    <w:rsid w:val="2ACB5F88"/>
    <w:rsid w:val="2AD42C83"/>
    <w:rsid w:val="2AD4AE3A"/>
    <w:rsid w:val="2ADF39FF"/>
    <w:rsid w:val="2AF04A28"/>
    <w:rsid w:val="2AF0DE84"/>
    <w:rsid w:val="2AF43232"/>
    <w:rsid w:val="2AF9BAF7"/>
    <w:rsid w:val="2AFBA9E7"/>
    <w:rsid w:val="2AFBEE9C"/>
    <w:rsid w:val="2AFDB4E7"/>
    <w:rsid w:val="2B032B74"/>
    <w:rsid w:val="2B0E17C4"/>
    <w:rsid w:val="2B167716"/>
    <w:rsid w:val="2B19D537"/>
    <w:rsid w:val="2B1D2C96"/>
    <w:rsid w:val="2B1D996A"/>
    <w:rsid w:val="2B248706"/>
    <w:rsid w:val="2B2C7E88"/>
    <w:rsid w:val="2B32C1E8"/>
    <w:rsid w:val="2B464DFC"/>
    <w:rsid w:val="2B4A186B"/>
    <w:rsid w:val="2B4BDD20"/>
    <w:rsid w:val="2B4F8B7C"/>
    <w:rsid w:val="2B50BC67"/>
    <w:rsid w:val="2B51677E"/>
    <w:rsid w:val="2B52B6D8"/>
    <w:rsid w:val="2B6200A1"/>
    <w:rsid w:val="2B68FE03"/>
    <w:rsid w:val="2B6E4268"/>
    <w:rsid w:val="2B761B58"/>
    <w:rsid w:val="2B81CD8A"/>
    <w:rsid w:val="2B889DCD"/>
    <w:rsid w:val="2B8AB9AD"/>
    <w:rsid w:val="2B904D5C"/>
    <w:rsid w:val="2B961454"/>
    <w:rsid w:val="2B985578"/>
    <w:rsid w:val="2B9EE52D"/>
    <w:rsid w:val="2BA37E7A"/>
    <w:rsid w:val="2BA3C5E5"/>
    <w:rsid w:val="2BA4B60B"/>
    <w:rsid w:val="2BA59BF4"/>
    <w:rsid w:val="2BA5A9B6"/>
    <w:rsid w:val="2BAE115D"/>
    <w:rsid w:val="2BB1703D"/>
    <w:rsid w:val="2BB93E4D"/>
    <w:rsid w:val="2BBB03C1"/>
    <w:rsid w:val="2BBBB8FA"/>
    <w:rsid w:val="2BBEBF92"/>
    <w:rsid w:val="2BC1EB36"/>
    <w:rsid w:val="2BD7AEA3"/>
    <w:rsid w:val="2BE46A5F"/>
    <w:rsid w:val="2BE95E41"/>
    <w:rsid w:val="2BEB9BA1"/>
    <w:rsid w:val="2BEFDB94"/>
    <w:rsid w:val="2BF20333"/>
    <w:rsid w:val="2BF998F2"/>
    <w:rsid w:val="2BFBAB8E"/>
    <w:rsid w:val="2C02DF29"/>
    <w:rsid w:val="2C037D35"/>
    <w:rsid w:val="2C234095"/>
    <w:rsid w:val="2C25172B"/>
    <w:rsid w:val="2C25CBC2"/>
    <w:rsid w:val="2C25DBF1"/>
    <w:rsid w:val="2C269A0B"/>
    <w:rsid w:val="2C26A3B8"/>
    <w:rsid w:val="2C2E15B6"/>
    <w:rsid w:val="2C351135"/>
    <w:rsid w:val="2C37B4BB"/>
    <w:rsid w:val="2C405E95"/>
    <w:rsid w:val="2C4401C1"/>
    <w:rsid w:val="2C46AD62"/>
    <w:rsid w:val="2C496DBF"/>
    <w:rsid w:val="2C51F419"/>
    <w:rsid w:val="2C52647F"/>
    <w:rsid w:val="2C5BB090"/>
    <w:rsid w:val="2C60BA4B"/>
    <w:rsid w:val="2C60DF2D"/>
    <w:rsid w:val="2C62D94C"/>
    <w:rsid w:val="2C6751A3"/>
    <w:rsid w:val="2C6AC61A"/>
    <w:rsid w:val="2C6BBBE5"/>
    <w:rsid w:val="2C71FA6A"/>
    <w:rsid w:val="2C75A3C4"/>
    <w:rsid w:val="2C78C79D"/>
    <w:rsid w:val="2C7B1494"/>
    <w:rsid w:val="2C85CE6F"/>
    <w:rsid w:val="2C90E0A9"/>
    <w:rsid w:val="2C947D3D"/>
    <w:rsid w:val="2C9999F1"/>
    <w:rsid w:val="2C9AD1BA"/>
    <w:rsid w:val="2CA0486B"/>
    <w:rsid w:val="2CA2FA46"/>
    <w:rsid w:val="2CA71B65"/>
    <w:rsid w:val="2CA8DDAD"/>
    <w:rsid w:val="2CA957A1"/>
    <w:rsid w:val="2CA9966E"/>
    <w:rsid w:val="2CB0B79F"/>
    <w:rsid w:val="2CB1B427"/>
    <w:rsid w:val="2CB41834"/>
    <w:rsid w:val="2CBB63AE"/>
    <w:rsid w:val="2CBC3BC1"/>
    <w:rsid w:val="2CBE20C0"/>
    <w:rsid w:val="2CC6EAD8"/>
    <w:rsid w:val="2CD2D90F"/>
    <w:rsid w:val="2CD36C9B"/>
    <w:rsid w:val="2CD6BAA7"/>
    <w:rsid w:val="2CD91BDB"/>
    <w:rsid w:val="2CDF619F"/>
    <w:rsid w:val="2CE0CE20"/>
    <w:rsid w:val="2CE1D227"/>
    <w:rsid w:val="2CF164E3"/>
    <w:rsid w:val="2CF25807"/>
    <w:rsid w:val="2CFEDA1A"/>
    <w:rsid w:val="2D01A01F"/>
    <w:rsid w:val="2D05794D"/>
    <w:rsid w:val="2D07DF6A"/>
    <w:rsid w:val="2D086D0A"/>
    <w:rsid w:val="2D098A06"/>
    <w:rsid w:val="2D0D6895"/>
    <w:rsid w:val="2D103990"/>
    <w:rsid w:val="2D109E9A"/>
    <w:rsid w:val="2D27C68D"/>
    <w:rsid w:val="2D2C3236"/>
    <w:rsid w:val="2D363A86"/>
    <w:rsid w:val="2D3C11AE"/>
    <w:rsid w:val="2D3E1DE3"/>
    <w:rsid w:val="2D416796"/>
    <w:rsid w:val="2D430C8B"/>
    <w:rsid w:val="2D4334B6"/>
    <w:rsid w:val="2D45649D"/>
    <w:rsid w:val="2D4571C0"/>
    <w:rsid w:val="2D4A517E"/>
    <w:rsid w:val="2D53F910"/>
    <w:rsid w:val="2D5C9C9A"/>
    <w:rsid w:val="2D5E94D8"/>
    <w:rsid w:val="2D5F6E10"/>
    <w:rsid w:val="2D655530"/>
    <w:rsid w:val="2D661224"/>
    <w:rsid w:val="2D69CA0C"/>
    <w:rsid w:val="2D6D7066"/>
    <w:rsid w:val="2D6F1A31"/>
    <w:rsid w:val="2D79685A"/>
    <w:rsid w:val="2D7A488D"/>
    <w:rsid w:val="2D7B5216"/>
    <w:rsid w:val="2D7C354F"/>
    <w:rsid w:val="2D7E4643"/>
    <w:rsid w:val="2D7EF469"/>
    <w:rsid w:val="2D7F2A8E"/>
    <w:rsid w:val="2D7F6744"/>
    <w:rsid w:val="2D871895"/>
    <w:rsid w:val="2D897FD7"/>
    <w:rsid w:val="2D8EFBC6"/>
    <w:rsid w:val="2D90FC84"/>
    <w:rsid w:val="2D99B8D1"/>
    <w:rsid w:val="2D9A4848"/>
    <w:rsid w:val="2DA15CBD"/>
    <w:rsid w:val="2DA18F26"/>
    <w:rsid w:val="2DB01102"/>
    <w:rsid w:val="2DB6470A"/>
    <w:rsid w:val="2DB72CB3"/>
    <w:rsid w:val="2DB8C2AD"/>
    <w:rsid w:val="2DC2B1B3"/>
    <w:rsid w:val="2DC3F262"/>
    <w:rsid w:val="2DC4643A"/>
    <w:rsid w:val="2DC6803A"/>
    <w:rsid w:val="2DCE70E0"/>
    <w:rsid w:val="2DCE9E60"/>
    <w:rsid w:val="2DD4B81D"/>
    <w:rsid w:val="2DE36797"/>
    <w:rsid w:val="2DE51BEE"/>
    <w:rsid w:val="2DE5DACE"/>
    <w:rsid w:val="2DE8C3E2"/>
    <w:rsid w:val="2DED97C8"/>
    <w:rsid w:val="2DF1277C"/>
    <w:rsid w:val="2DF17E7D"/>
    <w:rsid w:val="2DF1FDA8"/>
    <w:rsid w:val="2DF643A6"/>
    <w:rsid w:val="2DFB6DA7"/>
    <w:rsid w:val="2DFC8FF4"/>
    <w:rsid w:val="2DFE2E4B"/>
    <w:rsid w:val="2DFFEE7D"/>
    <w:rsid w:val="2E05310E"/>
    <w:rsid w:val="2E05475C"/>
    <w:rsid w:val="2E08A690"/>
    <w:rsid w:val="2E0D06FA"/>
    <w:rsid w:val="2E120169"/>
    <w:rsid w:val="2E182160"/>
    <w:rsid w:val="2E2864D1"/>
    <w:rsid w:val="2E32094F"/>
    <w:rsid w:val="2E398C32"/>
    <w:rsid w:val="2E39CF94"/>
    <w:rsid w:val="2E3A2C88"/>
    <w:rsid w:val="2E43F19D"/>
    <w:rsid w:val="2E4F9544"/>
    <w:rsid w:val="2E4FF8F9"/>
    <w:rsid w:val="2E51DC5D"/>
    <w:rsid w:val="2E57313B"/>
    <w:rsid w:val="2E5F3576"/>
    <w:rsid w:val="2E6A4A64"/>
    <w:rsid w:val="2E7CAD63"/>
    <w:rsid w:val="2E7DA288"/>
    <w:rsid w:val="2E86189F"/>
    <w:rsid w:val="2E915AFA"/>
    <w:rsid w:val="2E991A0F"/>
    <w:rsid w:val="2EA8C45E"/>
    <w:rsid w:val="2EA938F6"/>
    <w:rsid w:val="2EA9FA50"/>
    <w:rsid w:val="2EAA5C9A"/>
    <w:rsid w:val="2EACCFBC"/>
    <w:rsid w:val="2EACF166"/>
    <w:rsid w:val="2EAE626E"/>
    <w:rsid w:val="2EB94230"/>
    <w:rsid w:val="2EBBA7A5"/>
    <w:rsid w:val="2EBE371C"/>
    <w:rsid w:val="2EBF32AF"/>
    <w:rsid w:val="2EC4BFD4"/>
    <w:rsid w:val="2EC55D0B"/>
    <w:rsid w:val="2ED15655"/>
    <w:rsid w:val="2ED44D78"/>
    <w:rsid w:val="2ED5CC67"/>
    <w:rsid w:val="2ED80762"/>
    <w:rsid w:val="2EE57B18"/>
    <w:rsid w:val="2EF097BB"/>
    <w:rsid w:val="2EF18419"/>
    <w:rsid w:val="2EF66054"/>
    <w:rsid w:val="2EF7E685"/>
    <w:rsid w:val="2EF8B2A1"/>
    <w:rsid w:val="2EFA14B7"/>
    <w:rsid w:val="2F05D4E4"/>
    <w:rsid w:val="2F0CD72B"/>
    <w:rsid w:val="2F0F88B1"/>
    <w:rsid w:val="2F1300B6"/>
    <w:rsid w:val="2F153195"/>
    <w:rsid w:val="2F1826FC"/>
    <w:rsid w:val="2F18DD1C"/>
    <w:rsid w:val="2F1C77E4"/>
    <w:rsid w:val="2F1F95E7"/>
    <w:rsid w:val="2F20D6F6"/>
    <w:rsid w:val="2F21D97F"/>
    <w:rsid w:val="2F256220"/>
    <w:rsid w:val="2F2BF189"/>
    <w:rsid w:val="2F321EF2"/>
    <w:rsid w:val="2F3547BB"/>
    <w:rsid w:val="2F36C256"/>
    <w:rsid w:val="2F401A84"/>
    <w:rsid w:val="2F41DACB"/>
    <w:rsid w:val="2F43552C"/>
    <w:rsid w:val="2F4B7793"/>
    <w:rsid w:val="2F4F1993"/>
    <w:rsid w:val="2F4F9A9D"/>
    <w:rsid w:val="2F5BB05C"/>
    <w:rsid w:val="2F5DF97B"/>
    <w:rsid w:val="2F6012FF"/>
    <w:rsid w:val="2F65E5D2"/>
    <w:rsid w:val="2F6EA540"/>
    <w:rsid w:val="2F780FA8"/>
    <w:rsid w:val="2F81386B"/>
    <w:rsid w:val="2F8DEB26"/>
    <w:rsid w:val="2F9086E4"/>
    <w:rsid w:val="2F98E376"/>
    <w:rsid w:val="2F99967D"/>
    <w:rsid w:val="2FA069E2"/>
    <w:rsid w:val="2FAA30F1"/>
    <w:rsid w:val="2FB050E9"/>
    <w:rsid w:val="2FB3B5C1"/>
    <w:rsid w:val="2FBF56D7"/>
    <w:rsid w:val="2FC098DD"/>
    <w:rsid w:val="2FC8AC58"/>
    <w:rsid w:val="2FCFBD60"/>
    <w:rsid w:val="2FD03C20"/>
    <w:rsid w:val="2FD09E0D"/>
    <w:rsid w:val="2FD6F908"/>
    <w:rsid w:val="2FD959F9"/>
    <w:rsid w:val="2FDFD67E"/>
    <w:rsid w:val="2FE15C6C"/>
    <w:rsid w:val="2FE546B3"/>
    <w:rsid w:val="2FE5721A"/>
    <w:rsid w:val="2FEC0110"/>
    <w:rsid w:val="2FFA332F"/>
    <w:rsid w:val="30007A95"/>
    <w:rsid w:val="3004B679"/>
    <w:rsid w:val="3005AE11"/>
    <w:rsid w:val="300BDF1D"/>
    <w:rsid w:val="300F0420"/>
    <w:rsid w:val="3018C803"/>
    <w:rsid w:val="301DE2A8"/>
    <w:rsid w:val="3020CB26"/>
    <w:rsid w:val="3022E5D2"/>
    <w:rsid w:val="302CB988"/>
    <w:rsid w:val="30342A89"/>
    <w:rsid w:val="30349BAF"/>
    <w:rsid w:val="3036BD03"/>
    <w:rsid w:val="303E00FE"/>
    <w:rsid w:val="303F802C"/>
    <w:rsid w:val="303FDC97"/>
    <w:rsid w:val="30468C08"/>
    <w:rsid w:val="304ADBA6"/>
    <w:rsid w:val="304C4CEE"/>
    <w:rsid w:val="304F9AF7"/>
    <w:rsid w:val="30508326"/>
    <w:rsid w:val="3054FA46"/>
    <w:rsid w:val="30566AE3"/>
    <w:rsid w:val="30632DFC"/>
    <w:rsid w:val="30639ABF"/>
    <w:rsid w:val="3063FB33"/>
    <w:rsid w:val="306710E8"/>
    <w:rsid w:val="30681138"/>
    <w:rsid w:val="3083CE03"/>
    <w:rsid w:val="308F8A4E"/>
    <w:rsid w:val="30912FCE"/>
    <w:rsid w:val="30967FA5"/>
    <w:rsid w:val="309A8FC2"/>
    <w:rsid w:val="309BCD5C"/>
    <w:rsid w:val="30A02DC0"/>
    <w:rsid w:val="30A037EB"/>
    <w:rsid w:val="30A4838F"/>
    <w:rsid w:val="30A9E417"/>
    <w:rsid w:val="30ADC3CA"/>
    <w:rsid w:val="30B25F05"/>
    <w:rsid w:val="30B6E95B"/>
    <w:rsid w:val="30B71E8B"/>
    <w:rsid w:val="30B9B606"/>
    <w:rsid w:val="30C75DDF"/>
    <w:rsid w:val="30CEF6E9"/>
    <w:rsid w:val="30CF162E"/>
    <w:rsid w:val="30D1B69F"/>
    <w:rsid w:val="30D67D57"/>
    <w:rsid w:val="30D9B56D"/>
    <w:rsid w:val="30D9D1A2"/>
    <w:rsid w:val="30DE718D"/>
    <w:rsid w:val="30DFB93D"/>
    <w:rsid w:val="30E59CF9"/>
    <w:rsid w:val="30EF4D08"/>
    <w:rsid w:val="30F01CA7"/>
    <w:rsid w:val="30F155CA"/>
    <w:rsid w:val="30F3BC15"/>
    <w:rsid w:val="30F98CEE"/>
    <w:rsid w:val="30FF444C"/>
    <w:rsid w:val="3101D6B6"/>
    <w:rsid w:val="3108A282"/>
    <w:rsid w:val="310D3DAC"/>
    <w:rsid w:val="3110FF2D"/>
    <w:rsid w:val="3113D542"/>
    <w:rsid w:val="3113DB95"/>
    <w:rsid w:val="3118B0B2"/>
    <w:rsid w:val="311EC2B2"/>
    <w:rsid w:val="311EF636"/>
    <w:rsid w:val="3126B110"/>
    <w:rsid w:val="312A79FA"/>
    <w:rsid w:val="313638CB"/>
    <w:rsid w:val="3137E0AD"/>
    <w:rsid w:val="31399E31"/>
    <w:rsid w:val="313C2C97"/>
    <w:rsid w:val="313FAC53"/>
    <w:rsid w:val="31411D7C"/>
    <w:rsid w:val="3141CABB"/>
    <w:rsid w:val="31461D0A"/>
    <w:rsid w:val="3147B587"/>
    <w:rsid w:val="3149994D"/>
    <w:rsid w:val="315D13B4"/>
    <w:rsid w:val="315F1097"/>
    <w:rsid w:val="3160ACEB"/>
    <w:rsid w:val="31622FAF"/>
    <w:rsid w:val="31635095"/>
    <w:rsid w:val="3166A0AF"/>
    <w:rsid w:val="3168DD03"/>
    <w:rsid w:val="316EA914"/>
    <w:rsid w:val="31724ECF"/>
    <w:rsid w:val="3174B6AE"/>
    <w:rsid w:val="31756F4A"/>
    <w:rsid w:val="3176527D"/>
    <w:rsid w:val="31795128"/>
    <w:rsid w:val="317F4C9E"/>
    <w:rsid w:val="3180096A"/>
    <w:rsid w:val="31807181"/>
    <w:rsid w:val="31868052"/>
    <w:rsid w:val="318B84EA"/>
    <w:rsid w:val="318FBA80"/>
    <w:rsid w:val="318FD7FD"/>
    <w:rsid w:val="31915D80"/>
    <w:rsid w:val="3191FFA6"/>
    <w:rsid w:val="319C1472"/>
    <w:rsid w:val="31A1295F"/>
    <w:rsid w:val="31A523F5"/>
    <w:rsid w:val="31A73119"/>
    <w:rsid w:val="31B5A0F0"/>
    <w:rsid w:val="31B5BC13"/>
    <w:rsid w:val="31B701A2"/>
    <w:rsid w:val="31BAC184"/>
    <w:rsid w:val="31BCDE98"/>
    <w:rsid w:val="31BF114D"/>
    <w:rsid w:val="31C59FBB"/>
    <w:rsid w:val="31C72406"/>
    <w:rsid w:val="31C78998"/>
    <w:rsid w:val="31C7AC03"/>
    <w:rsid w:val="31CD4A67"/>
    <w:rsid w:val="31D17232"/>
    <w:rsid w:val="31D66DD7"/>
    <w:rsid w:val="31DA2FF2"/>
    <w:rsid w:val="31DC4987"/>
    <w:rsid w:val="31DD5C51"/>
    <w:rsid w:val="31EFCC01"/>
    <w:rsid w:val="31F56681"/>
    <w:rsid w:val="31F892FF"/>
    <w:rsid w:val="31FFAD63"/>
    <w:rsid w:val="3203E199"/>
    <w:rsid w:val="320501FA"/>
    <w:rsid w:val="3206FC8B"/>
    <w:rsid w:val="32070450"/>
    <w:rsid w:val="320CAEBC"/>
    <w:rsid w:val="320E3959"/>
    <w:rsid w:val="321664B5"/>
    <w:rsid w:val="321A3F5F"/>
    <w:rsid w:val="321F2BCE"/>
    <w:rsid w:val="3220DB27"/>
    <w:rsid w:val="322258AB"/>
    <w:rsid w:val="322343CA"/>
    <w:rsid w:val="32278AC9"/>
    <w:rsid w:val="3228387D"/>
    <w:rsid w:val="32298F4D"/>
    <w:rsid w:val="323106DF"/>
    <w:rsid w:val="32321022"/>
    <w:rsid w:val="3233AEB1"/>
    <w:rsid w:val="3235534A"/>
    <w:rsid w:val="323840E9"/>
    <w:rsid w:val="32397354"/>
    <w:rsid w:val="3239940B"/>
    <w:rsid w:val="3242D55A"/>
    <w:rsid w:val="32447D17"/>
    <w:rsid w:val="324A56EF"/>
    <w:rsid w:val="324C5C11"/>
    <w:rsid w:val="324C8418"/>
    <w:rsid w:val="324CD17F"/>
    <w:rsid w:val="325020CB"/>
    <w:rsid w:val="32504F59"/>
    <w:rsid w:val="32530C02"/>
    <w:rsid w:val="325E266E"/>
    <w:rsid w:val="3266946C"/>
    <w:rsid w:val="32678DA7"/>
    <w:rsid w:val="327C99E5"/>
    <w:rsid w:val="327FB7C5"/>
    <w:rsid w:val="328C6619"/>
    <w:rsid w:val="328D8D17"/>
    <w:rsid w:val="328EF657"/>
    <w:rsid w:val="329003E0"/>
    <w:rsid w:val="3290D843"/>
    <w:rsid w:val="329691DD"/>
    <w:rsid w:val="329AFEA8"/>
    <w:rsid w:val="32A9414C"/>
    <w:rsid w:val="32AB2A9F"/>
    <w:rsid w:val="32B159E6"/>
    <w:rsid w:val="32B24764"/>
    <w:rsid w:val="32B5C1F4"/>
    <w:rsid w:val="32B63997"/>
    <w:rsid w:val="32BD1F62"/>
    <w:rsid w:val="32C38309"/>
    <w:rsid w:val="32C8164B"/>
    <w:rsid w:val="32CDE96B"/>
    <w:rsid w:val="32DC69A9"/>
    <w:rsid w:val="32E205A1"/>
    <w:rsid w:val="32E4D201"/>
    <w:rsid w:val="32E935FF"/>
    <w:rsid w:val="32EA9664"/>
    <w:rsid w:val="32ED0D9E"/>
    <w:rsid w:val="32EDF6DE"/>
    <w:rsid w:val="32EF6C0D"/>
    <w:rsid w:val="32FB3F8B"/>
    <w:rsid w:val="32FC2122"/>
    <w:rsid w:val="330BF46A"/>
    <w:rsid w:val="3347AF0C"/>
    <w:rsid w:val="3349573A"/>
    <w:rsid w:val="334FC7D2"/>
    <w:rsid w:val="33542725"/>
    <w:rsid w:val="3357488B"/>
    <w:rsid w:val="335E5C71"/>
    <w:rsid w:val="3366A4A0"/>
    <w:rsid w:val="3369560C"/>
    <w:rsid w:val="336D07DA"/>
    <w:rsid w:val="33716C6B"/>
    <w:rsid w:val="33728EB6"/>
    <w:rsid w:val="337752AA"/>
    <w:rsid w:val="337E9736"/>
    <w:rsid w:val="338411A4"/>
    <w:rsid w:val="33885D60"/>
    <w:rsid w:val="338A5D35"/>
    <w:rsid w:val="338A8CD5"/>
    <w:rsid w:val="338AD703"/>
    <w:rsid w:val="338D9E6E"/>
    <w:rsid w:val="338FA52C"/>
    <w:rsid w:val="339380DC"/>
    <w:rsid w:val="33946D57"/>
    <w:rsid w:val="3399433C"/>
    <w:rsid w:val="3399524D"/>
    <w:rsid w:val="339971BC"/>
    <w:rsid w:val="339989A6"/>
    <w:rsid w:val="33A8BB2C"/>
    <w:rsid w:val="33A94C13"/>
    <w:rsid w:val="33AA6C9F"/>
    <w:rsid w:val="33AF6D7E"/>
    <w:rsid w:val="33BD7EF1"/>
    <w:rsid w:val="33C862A0"/>
    <w:rsid w:val="33D484D1"/>
    <w:rsid w:val="33D95158"/>
    <w:rsid w:val="33D9BFB8"/>
    <w:rsid w:val="33DC89A6"/>
    <w:rsid w:val="33DD579A"/>
    <w:rsid w:val="33DEB9E1"/>
    <w:rsid w:val="33DF7CB4"/>
    <w:rsid w:val="33E1C080"/>
    <w:rsid w:val="33E74E34"/>
    <w:rsid w:val="33ED44EF"/>
    <w:rsid w:val="33EE298F"/>
    <w:rsid w:val="33EEDC63"/>
    <w:rsid w:val="33F5FD15"/>
    <w:rsid w:val="33F77FBD"/>
    <w:rsid w:val="33FA3E9A"/>
    <w:rsid w:val="34017588"/>
    <w:rsid w:val="3407DA12"/>
    <w:rsid w:val="340D7C79"/>
    <w:rsid w:val="340DAC83"/>
    <w:rsid w:val="3415D238"/>
    <w:rsid w:val="3416796E"/>
    <w:rsid w:val="341ED2E7"/>
    <w:rsid w:val="3427C956"/>
    <w:rsid w:val="342CA8A4"/>
    <w:rsid w:val="342D815F"/>
    <w:rsid w:val="342E7A6B"/>
    <w:rsid w:val="3435C1BE"/>
    <w:rsid w:val="3440E5C6"/>
    <w:rsid w:val="344219D3"/>
    <w:rsid w:val="34436D6D"/>
    <w:rsid w:val="344AD7FA"/>
    <w:rsid w:val="344B73F7"/>
    <w:rsid w:val="3450B0FD"/>
    <w:rsid w:val="34556755"/>
    <w:rsid w:val="3458737B"/>
    <w:rsid w:val="3458F439"/>
    <w:rsid w:val="34630A28"/>
    <w:rsid w:val="3463E817"/>
    <w:rsid w:val="346647F9"/>
    <w:rsid w:val="34677870"/>
    <w:rsid w:val="3467A15C"/>
    <w:rsid w:val="3469B60A"/>
    <w:rsid w:val="346AE42C"/>
    <w:rsid w:val="347F7A06"/>
    <w:rsid w:val="347FF3FC"/>
    <w:rsid w:val="348206BF"/>
    <w:rsid w:val="34847479"/>
    <w:rsid w:val="348BE971"/>
    <w:rsid w:val="349C9DD3"/>
    <w:rsid w:val="34A031C1"/>
    <w:rsid w:val="34A93C4A"/>
    <w:rsid w:val="34AC9A2C"/>
    <w:rsid w:val="34AD100C"/>
    <w:rsid w:val="34AE00EB"/>
    <w:rsid w:val="34B03E2B"/>
    <w:rsid w:val="34B07030"/>
    <w:rsid w:val="34B31AB4"/>
    <w:rsid w:val="34B70F69"/>
    <w:rsid w:val="34BA2243"/>
    <w:rsid w:val="34BB0F49"/>
    <w:rsid w:val="34C4006A"/>
    <w:rsid w:val="34CA06DF"/>
    <w:rsid w:val="34D13E12"/>
    <w:rsid w:val="34D9F21B"/>
    <w:rsid w:val="34DAD7EB"/>
    <w:rsid w:val="34DB3256"/>
    <w:rsid w:val="34DDAC50"/>
    <w:rsid w:val="34DEB23F"/>
    <w:rsid w:val="34DED135"/>
    <w:rsid w:val="34E030B8"/>
    <w:rsid w:val="34E547FB"/>
    <w:rsid w:val="34EC7284"/>
    <w:rsid w:val="34F02A68"/>
    <w:rsid w:val="34F12BB3"/>
    <w:rsid w:val="34F2723C"/>
    <w:rsid w:val="34F84349"/>
    <w:rsid w:val="34F9790C"/>
    <w:rsid w:val="3502E684"/>
    <w:rsid w:val="35038D1A"/>
    <w:rsid w:val="350BA834"/>
    <w:rsid w:val="350E14C4"/>
    <w:rsid w:val="350EADA2"/>
    <w:rsid w:val="3513ADE7"/>
    <w:rsid w:val="35148BA4"/>
    <w:rsid w:val="351FDBC0"/>
    <w:rsid w:val="3534C020"/>
    <w:rsid w:val="35389DED"/>
    <w:rsid w:val="353B58FC"/>
    <w:rsid w:val="353E421A"/>
    <w:rsid w:val="35412CA8"/>
    <w:rsid w:val="35470B93"/>
    <w:rsid w:val="3547FEB6"/>
    <w:rsid w:val="3549F40D"/>
    <w:rsid w:val="354AF312"/>
    <w:rsid w:val="354E7053"/>
    <w:rsid w:val="3550BD0A"/>
    <w:rsid w:val="35544C55"/>
    <w:rsid w:val="35553A20"/>
    <w:rsid w:val="355542C4"/>
    <w:rsid w:val="3559EFA7"/>
    <w:rsid w:val="355FA09A"/>
    <w:rsid w:val="356017FD"/>
    <w:rsid w:val="3562FA94"/>
    <w:rsid w:val="3567A520"/>
    <w:rsid w:val="35693149"/>
    <w:rsid w:val="3570A1E4"/>
    <w:rsid w:val="35711416"/>
    <w:rsid w:val="357230CE"/>
    <w:rsid w:val="35727941"/>
    <w:rsid w:val="35751751"/>
    <w:rsid w:val="357A6163"/>
    <w:rsid w:val="357C7856"/>
    <w:rsid w:val="357E9655"/>
    <w:rsid w:val="358D6E05"/>
    <w:rsid w:val="358ED76B"/>
    <w:rsid w:val="3590D8D2"/>
    <w:rsid w:val="359BAAD7"/>
    <w:rsid w:val="35A0255C"/>
    <w:rsid w:val="35A0DA22"/>
    <w:rsid w:val="35A5E886"/>
    <w:rsid w:val="35AB865E"/>
    <w:rsid w:val="35ABE66A"/>
    <w:rsid w:val="35AC39E0"/>
    <w:rsid w:val="35B2ED0C"/>
    <w:rsid w:val="35BE03B5"/>
    <w:rsid w:val="35C1D609"/>
    <w:rsid w:val="35C6E512"/>
    <w:rsid w:val="35D03548"/>
    <w:rsid w:val="35D1F9C8"/>
    <w:rsid w:val="35D8262C"/>
    <w:rsid w:val="35D923F1"/>
    <w:rsid w:val="35D9C455"/>
    <w:rsid w:val="35DCB627"/>
    <w:rsid w:val="35DE8156"/>
    <w:rsid w:val="35E9FEF1"/>
    <w:rsid w:val="35F0021F"/>
    <w:rsid w:val="35F18633"/>
    <w:rsid w:val="35FFE69B"/>
    <w:rsid w:val="3600724E"/>
    <w:rsid w:val="36105456"/>
    <w:rsid w:val="36132648"/>
    <w:rsid w:val="361EED1A"/>
    <w:rsid w:val="36211E61"/>
    <w:rsid w:val="3622B658"/>
    <w:rsid w:val="36241096"/>
    <w:rsid w:val="36261A89"/>
    <w:rsid w:val="36267B8A"/>
    <w:rsid w:val="362A7110"/>
    <w:rsid w:val="3634DDD0"/>
    <w:rsid w:val="3638939A"/>
    <w:rsid w:val="363B26E7"/>
    <w:rsid w:val="364092B4"/>
    <w:rsid w:val="36492656"/>
    <w:rsid w:val="364B3F8B"/>
    <w:rsid w:val="364CF476"/>
    <w:rsid w:val="36514BBA"/>
    <w:rsid w:val="36537853"/>
    <w:rsid w:val="36549920"/>
    <w:rsid w:val="3656A18A"/>
    <w:rsid w:val="36593E03"/>
    <w:rsid w:val="36597E4B"/>
    <w:rsid w:val="365BC738"/>
    <w:rsid w:val="365CFDEF"/>
    <w:rsid w:val="3665E523"/>
    <w:rsid w:val="366E4B49"/>
    <w:rsid w:val="3675905B"/>
    <w:rsid w:val="3681291F"/>
    <w:rsid w:val="3696009E"/>
    <w:rsid w:val="36961FB8"/>
    <w:rsid w:val="3699D0EB"/>
    <w:rsid w:val="369AA029"/>
    <w:rsid w:val="369E6225"/>
    <w:rsid w:val="36A15FC7"/>
    <w:rsid w:val="36A1B7E9"/>
    <w:rsid w:val="36AADCC9"/>
    <w:rsid w:val="36ABB2D1"/>
    <w:rsid w:val="36AC7165"/>
    <w:rsid w:val="36B41863"/>
    <w:rsid w:val="36BA9355"/>
    <w:rsid w:val="36D2F71A"/>
    <w:rsid w:val="36D513C1"/>
    <w:rsid w:val="36E32233"/>
    <w:rsid w:val="36E33106"/>
    <w:rsid w:val="36EBEC78"/>
    <w:rsid w:val="36EC98CC"/>
    <w:rsid w:val="36F3D096"/>
    <w:rsid w:val="36F51FB3"/>
    <w:rsid w:val="36F52CC4"/>
    <w:rsid w:val="36F96ED0"/>
    <w:rsid w:val="36FA5ED8"/>
    <w:rsid w:val="36FC052F"/>
    <w:rsid w:val="37006C33"/>
    <w:rsid w:val="37165AA3"/>
    <w:rsid w:val="3717F257"/>
    <w:rsid w:val="371DEDA5"/>
    <w:rsid w:val="371F17A6"/>
    <w:rsid w:val="371FD5ED"/>
    <w:rsid w:val="3724AC51"/>
    <w:rsid w:val="3727E74A"/>
    <w:rsid w:val="373D3FED"/>
    <w:rsid w:val="37407FB9"/>
    <w:rsid w:val="374604A8"/>
    <w:rsid w:val="37498556"/>
    <w:rsid w:val="374EBD6D"/>
    <w:rsid w:val="37504456"/>
    <w:rsid w:val="37591C6A"/>
    <w:rsid w:val="375BB477"/>
    <w:rsid w:val="37698AB7"/>
    <w:rsid w:val="376C4BBE"/>
    <w:rsid w:val="376E2734"/>
    <w:rsid w:val="3770DCA8"/>
    <w:rsid w:val="3774A652"/>
    <w:rsid w:val="37751CF7"/>
    <w:rsid w:val="37764379"/>
    <w:rsid w:val="377AE2B6"/>
    <w:rsid w:val="37801620"/>
    <w:rsid w:val="378473C8"/>
    <w:rsid w:val="37849B8E"/>
    <w:rsid w:val="378C291F"/>
    <w:rsid w:val="378EC175"/>
    <w:rsid w:val="378F157F"/>
    <w:rsid w:val="3799290B"/>
    <w:rsid w:val="379B508E"/>
    <w:rsid w:val="37A3BBCD"/>
    <w:rsid w:val="37AA4DE9"/>
    <w:rsid w:val="37ACD194"/>
    <w:rsid w:val="37B0E43B"/>
    <w:rsid w:val="37B97AAA"/>
    <w:rsid w:val="37C0460F"/>
    <w:rsid w:val="37C79A6A"/>
    <w:rsid w:val="37CDD22E"/>
    <w:rsid w:val="37D203C7"/>
    <w:rsid w:val="37DB1863"/>
    <w:rsid w:val="37ED683C"/>
    <w:rsid w:val="37F1ED0E"/>
    <w:rsid w:val="37F21B4E"/>
    <w:rsid w:val="37F720A1"/>
    <w:rsid w:val="37FA83BB"/>
    <w:rsid w:val="38055B5B"/>
    <w:rsid w:val="380D3178"/>
    <w:rsid w:val="38148367"/>
    <w:rsid w:val="381BE062"/>
    <w:rsid w:val="3823A2EE"/>
    <w:rsid w:val="3827750E"/>
    <w:rsid w:val="382AC436"/>
    <w:rsid w:val="382ACA51"/>
    <w:rsid w:val="382D96D0"/>
    <w:rsid w:val="38301114"/>
    <w:rsid w:val="38321D2D"/>
    <w:rsid w:val="3838F0D1"/>
    <w:rsid w:val="383E8A70"/>
    <w:rsid w:val="3844C09F"/>
    <w:rsid w:val="3850D142"/>
    <w:rsid w:val="38547A6A"/>
    <w:rsid w:val="38557BBE"/>
    <w:rsid w:val="38578544"/>
    <w:rsid w:val="385C29F8"/>
    <w:rsid w:val="38617CC8"/>
    <w:rsid w:val="386274EC"/>
    <w:rsid w:val="386328C8"/>
    <w:rsid w:val="38650873"/>
    <w:rsid w:val="3866BFCF"/>
    <w:rsid w:val="386F1D92"/>
    <w:rsid w:val="38700AF6"/>
    <w:rsid w:val="3872B2CD"/>
    <w:rsid w:val="387C2575"/>
    <w:rsid w:val="388636C4"/>
    <w:rsid w:val="38886FC1"/>
    <w:rsid w:val="388936B4"/>
    <w:rsid w:val="3890563E"/>
    <w:rsid w:val="3891FB74"/>
    <w:rsid w:val="38967E75"/>
    <w:rsid w:val="38977BD9"/>
    <w:rsid w:val="38A6B245"/>
    <w:rsid w:val="38A7A690"/>
    <w:rsid w:val="38AEEA75"/>
    <w:rsid w:val="38AFB44D"/>
    <w:rsid w:val="38B32A7E"/>
    <w:rsid w:val="38B74DDC"/>
    <w:rsid w:val="38B99873"/>
    <w:rsid w:val="38BBFEE7"/>
    <w:rsid w:val="38BE6D24"/>
    <w:rsid w:val="38C121A0"/>
    <w:rsid w:val="38C19890"/>
    <w:rsid w:val="38D03D7E"/>
    <w:rsid w:val="38D5CDE0"/>
    <w:rsid w:val="38DBAD12"/>
    <w:rsid w:val="38E063CC"/>
    <w:rsid w:val="38EA3A7D"/>
    <w:rsid w:val="38ED343D"/>
    <w:rsid w:val="38F194F1"/>
    <w:rsid w:val="38F5F439"/>
    <w:rsid w:val="390B507A"/>
    <w:rsid w:val="390F8B9F"/>
    <w:rsid w:val="391124F4"/>
    <w:rsid w:val="39124E63"/>
    <w:rsid w:val="391E0283"/>
    <w:rsid w:val="391F453C"/>
    <w:rsid w:val="391FEBD7"/>
    <w:rsid w:val="3920B53D"/>
    <w:rsid w:val="392196B4"/>
    <w:rsid w:val="3928B14E"/>
    <w:rsid w:val="392A87B4"/>
    <w:rsid w:val="3930CB7E"/>
    <w:rsid w:val="3932984C"/>
    <w:rsid w:val="3933B8F3"/>
    <w:rsid w:val="3934287D"/>
    <w:rsid w:val="393495F1"/>
    <w:rsid w:val="39356286"/>
    <w:rsid w:val="393B61DA"/>
    <w:rsid w:val="394CEB8F"/>
    <w:rsid w:val="394F0632"/>
    <w:rsid w:val="3950DCCF"/>
    <w:rsid w:val="39554B0B"/>
    <w:rsid w:val="3955DB14"/>
    <w:rsid w:val="39581EE8"/>
    <w:rsid w:val="39658CF1"/>
    <w:rsid w:val="39670573"/>
    <w:rsid w:val="396953AF"/>
    <w:rsid w:val="39699F73"/>
    <w:rsid w:val="39741795"/>
    <w:rsid w:val="39789C51"/>
    <w:rsid w:val="39791DB0"/>
    <w:rsid w:val="3979A4E7"/>
    <w:rsid w:val="39825B0E"/>
    <w:rsid w:val="398AC547"/>
    <w:rsid w:val="398DBF2E"/>
    <w:rsid w:val="39933433"/>
    <w:rsid w:val="399BE06C"/>
    <w:rsid w:val="399DED48"/>
    <w:rsid w:val="39A1667A"/>
    <w:rsid w:val="39AA2DEA"/>
    <w:rsid w:val="39AFB7C8"/>
    <w:rsid w:val="39AFBDE4"/>
    <w:rsid w:val="39B07086"/>
    <w:rsid w:val="39B0B84A"/>
    <w:rsid w:val="39B11051"/>
    <w:rsid w:val="39B68CB0"/>
    <w:rsid w:val="39B75A43"/>
    <w:rsid w:val="39BCF9C1"/>
    <w:rsid w:val="39CB5848"/>
    <w:rsid w:val="39CE955B"/>
    <w:rsid w:val="39D08A19"/>
    <w:rsid w:val="39D7E199"/>
    <w:rsid w:val="39D9BF52"/>
    <w:rsid w:val="39DA691A"/>
    <w:rsid w:val="39DAF2E8"/>
    <w:rsid w:val="39DE5B68"/>
    <w:rsid w:val="39E6EC1E"/>
    <w:rsid w:val="39EAE61E"/>
    <w:rsid w:val="39EDF5E9"/>
    <w:rsid w:val="39F37AA6"/>
    <w:rsid w:val="39FB3D8E"/>
    <w:rsid w:val="3A0085C6"/>
    <w:rsid w:val="3A0395F9"/>
    <w:rsid w:val="3A0A08A5"/>
    <w:rsid w:val="3A0AAA44"/>
    <w:rsid w:val="3A0AAC8A"/>
    <w:rsid w:val="3A0C0E75"/>
    <w:rsid w:val="3A112BAF"/>
    <w:rsid w:val="3A11712E"/>
    <w:rsid w:val="3A137E04"/>
    <w:rsid w:val="3A1C8D50"/>
    <w:rsid w:val="3A1F7156"/>
    <w:rsid w:val="3A2823EE"/>
    <w:rsid w:val="3A374898"/>
    <w:rsid w:val="3A3981A8"/>
    <w:rsid w:val="3A3A4CF6"/>
    <w:rsid w:val="3A41B6D9"/>
    <w:rsid w:val="3A4B38FE"/>
    <w:rsid w:val="3A4F69B3"/>
    <w:rsid w:val="3A510D5E"/>
    <w:rsid w:val="3A592FD9"/>
    <w:rsid w:val="3A5B2402"/>
    <w:rsid w:val="3A5EBB6A"/>
    <w:rsid w:val="3A7131A4"/>
    <w:rsid w:val="3A7AB2EB"/>
    <w:rsid w:val="3A7C278A"/>
    <w:rsid w:val="3A7FEA49"/>
    <w:rsid w:val="3A85BE24"/>
    <w:rsid w:val="3A86D09B"/>
    <w:rsid w:val="3A8D8CB0"/>
    <w:rsid w:val="3A9D6D86"/>
    <w:rsid w:val="3A9F9FD5"/>
    <w:rsid w:val="3A9FC9E3"/>
    <w:rsid w:val="3AAFF00D"/>
    <w:rsid w:val="3AAFFE18"/>
    <w:rsid w:val="3AB427AB"/>
    <w:rsid w:val="3AB5CE0B"/>
    <w:rsid w:val="3AB638C5"/>
    <w:rsid w:val="3AB72164"/>
    <w:rsid w:val="3AB898B2"/>
    <w:rsid w:val="3AB9AED3"/>
    <w:rsid w:val="3ABE6B0F"/>
    <w:rsid w:val="3ABF373F"/>
    <w:rsid w:val="3AC99BA5"/>
    <w:rsid w:val="3AC9C2D9"/>
    <w:rsid w:val="3ACC41A6"/>
    <w:rsid w:val="3ACE34FE"/>
    <w:rsid w:val="3AD06150"/>
    <w:rsid w:val="3AD17A90"/>
    <w:rsid w:val="3AD1B9D5"/>
    <w:rsid w:val="3AD315DD"/>
    <w:rsid w:val="3AD7C69C"/>
    <w:rsid w:val="3ADD17AC"/>
    <w:rsid w:val="3ADDB395"/>
    <w:rsid w:val="3AEA0351"/>
    <w:rsid w:val="3AF1E887"/>
    <w:rsid w:val="3AF28C63"/>
    <w:rsid w:val="3AF4802D"/>
    <w:rsid w:val="3AF7E7AA"/>
    <w:rsid w:val="3B019B74"/>
    <w:rsid w:val="3B028F60"/>
    <w:rsid w:val="3B035E16"/>
    <w:rsid w:val="3B0A1A7C"/>
    <w:rsid w:val="3B0BC361"/>
    <w:rsid w:val="3B0E2A77"/>
    <w:rsid w:val="3B1232DD"/>
    <w:rsid w:val="3B13BD41"/>
    <w:rsid w:val="3B198485"/>
    <w:rsid w:val="3B1E057C"/>
    <w:rsid w:val="3B23C349"/>
    <w:rsid w:val="3B2408F5"/>
    <w:rsid w:val="3B2619D1"/>
    <w:rsid w:val="3B377959"/>
    <w:rsid w:val="3B3A1E14"/>
    <w:rsid w:val="3B3B6886"/>
    <w:rsid w:val="3B40D9F3"/>
    <w:rsid w:val="3B456E45"/>
    <w:rsid w:val="3B4BED03"/>
    <w:rsid w:val="3B4E6B14"/>
    <w:rsid w:val="3B4F5CA4"/>
    <w:rsid w:val="3B5080C1"/>
    <w:rsid w:val="3B5143C6"/>
    <w:rsid w:val="3B5B8C94"/>
    <w:rsid w:val="3B607DC1"/>
    <w:rsid w:val="3B658F56"/>
    <w:rsid w:val="3B68085B"/>
    <w:rsid w:val="3B69F417"/>
    <w:rsid w:val="3B6A3E7E"/>
    <w:rsid w:val="3B717D17"/>
    <w:rsid w:val="3B72E05D"/>
    <w:rsid w:val="3B77FBAF"/>
    <w:rsid w:val="3B7ACA44"/>
    <w:rsid w:val="3B7C4DCF"/>
    <w:rsid w:val="3B7CBEE0"/>
    <w:rsid w:val="3B86D517"/>
    <w:rsid w:val="3B8798DA"/>
    <w:rsid w:val="3B90369F"/>
    <w:rsid w:val="3B90D779"/>
    <w:rsid w:val="3B935F18"/>
    <w:rsid w:val="3B98311E"/>
    <w:rsid w:val="3B990C0E"/>
    <w:rsid w:val="3B992725"/>
    <w:rsid w:val="3B9CC98B"/>
    <w:rsid w:val="3B9E3E79"/>
    <w:rsid w:val="3B9F9435"/>
    <w:rsid w:val="3BA58747"/>
    <w:rsid w:val="3BAF9C9F"/>
    <w:rsid w:val="3BB07E46"/>
    <w:rsid w:val="3BB5467D"/>
    <w:rsid w:val="3BBB0B89"/>
    <w:rsid w:val="3BBCDA6F"/>
    <w:rsid w:val="3BBFA548"/>
    <w:rsid w:val="3BCDA573"/>
    <w:rsid w:val="3BCE224E"/>
    <w:rsid w:val="3BD028DD"/>
    <w:rsid w:val="3BD99165"/>
    <w:rsid w:val="3BDBA3F7"/>
    <w:rsid w:val="3BE27C77"/>
    <w:rsid w:val="3BE9315B"/>
    <w:rsid w:val="3BEB8120"/>
    <w:rsid w:val="3BEC3CC9"/>
    <w:rsid w:val="3BEF8E6A"/>
    <w:rsid w:val="3BF54790"/>
    <w:rsid w:val="3BF58A8A"/>
    <w:rsid w:val="3BF6EBB0"/>
    <w:rsid w:val="3BF7AADC"/>
    <w:rsid w:val="3BFCBAE8"/>
    <w:rsid w:val="3C04A7DE"/>
    <w:rsid w:val="3C05252C"/>
    <w:rsid w:val="3C072ADE"/>
    <w:rsid w:val="3C09282F"/>
    <w:rsid w:val="3C0A1BB3"/>
    <w:rsid w:val="3C1B283C"/>
    <w:rsid w:val="3C1BFADA"/>
    <w:rsid w:val="3C1D56E4"/>
    <w:rsid w:val="3C200303"/>
    <w:rsid w:val="3C2B632E"/>
    <w:rsid w:val="3C2D77D2"/>
    <w:rsid w:val="3C2FAA23"/>
    <w:rsid w:val="3C417530"/>
    <w:rsid w:val="3C464028"/>
    <w:rsid w:val="3C466162"/>
    <w:rsid w:val="3C4D0B5C"/>
    <w:rsid w:val="3C4D37AE"/>
    <w:rsid w:val="3C5A4DAB"/>
    <w:rsid w:val="3C5CF7FD"/>
    <w:rsid w:val="3C5F1166"/>
    <w:rsid w:val="3C5FA871"/>
    <w:rsid w:val="3C607772"/>
    <w:rsid w:val="3C68CF7B"/>
    <w:rsid w:val="3C6D963D"/>
    <w:rsid w:val="3C79A8B4"/>
    <w:rsid w:val="3C7E121F"/>
    <w:rsid w:val="3C8455EF"/>
    <w:rsid w:val="3C852580"/>
    <w:rsid w:val="3C8E1736"/>
    <w:rsid w:val="3C90987F"/>
    <w:rsid w:val="3C992E1A"/>
    <w:rsid w:val="3C9BEA85"/>
    <w:rsid w:val="3C9FA27E"/>
    <w:rsid w:val="3CAA6A6F"/>
    <w:rsid w:val="3CCA3232"/>
    <w:rsid w:val="3CCAAE3D"/>
    <w:rsid w:val="3CD01614"/>
    <w:rsid w:val="3CD41027"/>
    <w:rsid w:val="3CD635AD"/>
    <w:rsid w:val="3CE4B90B"/>
    <w:rsid w:val="3CE8C7DB"/>
    <w:rsid w:val="3CEBEC88"/>
    <w:rsid w:val="3CF35A5A"/>
    <w:rsid w:val="3CF8773E"/>
    <w:rsid w:val="3D07DFDF"/>
    <w:rsid w:val="3D092630"/>
    <w:rsid w:val="3D0CE10D"/>
    <w:rsid w:val="3D12DBAB"/>
    <w:rsid w:val="3D18DFD8"/>
    <w:rsid w:val="3D1E1701"/>
    <w:rsid w:val="3D225BAD"/>
    <w:rsid w:val="3D28731B"/>
    <w:rsid w:val="3D297F8D"/>
    <w:rsid w:val="3D2AEF90"/>
    <w:rsid w:val="3D31F76D"/>
    <w:rsid w:val="3D32A9AA"/>
    <w:rsid w:val="3D3343C4"/>
    <w:rsid w:val="3D3C381F"/>
    <w:rsid w:val="3D424D4C"/>
    <w:rsid w:val="3D4F0272"/>
    <w:rsid w:val="3D4F7539"/>
    <w:rsid w:val="3D50C3A5"/>
    <w:rsid w:val="3D555A02"/>
    <w:rsid w:val="3D55CF56"/>
    <w:rsid w:val="3D5A80FB"/>
    <w:rsid w:val="3D5AE3FC"/>
    <w:rsid w:val="3D5AF35C"/>
    <w:rsid w:val="3D5B59FD"/>
    <w:rsid w:val="3D64F152"/>
    <w:rsid w:val="3D65B6E6"/>
    <w:rsid w:val="3D6AEB24"/>
    <w:rsid w:val="3D6CB4E0"/>
    <w:rsid w:val="3D76F9DF"/>
    <w:rsid w:val="3D7D159D"/>
    <w:rsid w:val="3D84C584"/>
    <w:rsid w:val="3D9016A6"/>
    <w:rsid w:val="3D90AED1"/>
    <w:rsid w:val="3D931C58"/>
    <w:rsid w:val="3D99EF2F"/>
    <w:rsid w:val="3DA46B5C"/>
    <w:rsid w:val="3DA48038"/>
    <w:rsid w:val="3DADF09F"/>
    <w:rsid w:val="3DB3569D"/>
    <w:rsid w:val="3DC6D752"/>
    <w:rsid w:val="3DCC1E9E"/>
    <w:rsid w:val="3DD64A4A"/>
    <w:rsid w:val="3DE25539"/>
    <w:rsid w:val="3DE57378"/>
    <w:rsid w:val="3DE6B0CA"/>
    <w:rsid w:val="3DE6DA78"/>
    <w:rsid w:val="3DEEFF40"/>
    <w:rsid w:val="3DF1A45B"/>
    <w:rsid w:val="3DF4DAFB"/>
    <w:rsid w:val="3DF72CFE"/>
    <w:rsid w:val="3DF86C37"/>
    <w:rsid w:val="3DF99110"/>
    <w:rsid w:val="3DFF6ED2"/>
    <w:rsid w:val="3E009B38"/>
    <w:rsid w:val="3E03197C"/>
    <w:rsid w:val="3E034ED1"/>
    <w:rsid w:val="3E052EDE"/>
    <w:rsid w:val="3E0E2280"/>
    <w:rsid w:val="3E1216EA"/>
    <w:rsid w:val="3E12D16D"/>
    <w:rsid w:val="3E288A29"/>
    <w:rsid w:val="3E29DE95"/>
    <w:rsid w:val="3E33802E"/>
    <w:rsid w:val="3E3B19EA"/>
    <w:rsid w:val="3E3D2917"/>
    <w:rsid w:val="3E3D2C3B"/>
    <w:rsid w:val="3E3F60EC"/>
    <w:rsid w:val="3E42A150"/>
    <w:rsid w:val="3E44DF89"/>
    <w:rsid w:val="3E48F141"/>
    <w:rsid w:val="3E4AB301"/>
    <w:rsid w:val="3E511181"/>
    <w:rsid w:val="3E512547"/>
    <w:rsid w:val="3E53A564"/>
    <w:rsid w:val="3E541E3A"/>
    <w:rsid w:val="3E56CCE4"/>
    <w:rsid w:val="3E570BAC"/>
    <w:rsid w:val="3E5C2853"/>
    <w:rsid w:val="3E66C00E"/>
    <w:rsid w:val="3E6D0898"/>
    <w:rsid w:val="3E6F6162"/>
    <w:rsid w:val="3E6FABB0"/>
    <w:rsid w:val="3E72ED9A"/>
    <w:rsid w:val="3E7356B5"/>
    <w:rsid w:val="3E76E642"/>
    <w:rsid w:val="3E7E7162"/>
    <w:rsid w:val="3E7F2E28"/>
    <w:rsid w:val="3E84D042"/>
    <w:rsid w:val="3E8C668D"/>
    <w:rsid w:val="3E915A9A"/>
    <w:rsid w:val="3E941F25"/>
    <w:rsid w:val="3E96108F"/>
    <w:rsid w:val="3E9A1E7C"/>
    <w:rsid w:val="3E9D8041"/>
    <w:rsid w:val="3EA55171"/>
    <w:rsid w:val="3EA93162"/>
    <w:rsid w:val="3EACD825"/>
    <w:rsid w:val="3EB0B899"/>
    <w:rsid w:val="3EB5B5A7"/>
    <w:rsid w:val="3ECAA5E2"/>
    <w:rsid w:val="3ECB02C5"/>
    <w:rsid w:val="3ECCD0E4"/>
    <w:rsid w:val="3ED0AF13"/>
    <w:rsid w:val="3ED5D783"/>
    <w:rsid w:val="3EDB15E9"/>
    <w:rsid w:val="3EDB8704"/>
    <w:rsid w:val="3EDD342C"/>
    <w:rsid w:val="3EDDBF6E"/>
    <w:rsid w:val="3EDE89A0"/>
    <w:rsid w:val="3EE1F1BD"/>
    <w:rsid w:val="3EE2F86C"/>
    <w:rsid w:val="3EE4B7ED"/>
    <w:rsid w:val="3EE68512"/>
    <w:rsid w:val="3EE930AD"/>
    <w:rsid w:val="3EEDEDD9"/>
    <w:rsid w:val="3EF15B46"/>
    <w:rsid w:val="3EF4EFCA"/>
    <w:rsid w:val="3EF7E807"/>
    <w:rsid w:val="3EF8C9E2"/>
    <w:rsid w:val="3EFF5371"/>
    <w:rsid w:val="3F0226BE"/>
    <w:rsid w:val="3F03643F"/>
    <w:rsid w:val="3F05CC1F"/>
    <w:rsid w:val="3F0B90DD"/>
    <w:rsid w:val="3F1506EB"/>
    <w:rsid w:val="3F157967"/>
    <w:rsid w:val="3F161D35"/>
    <w:rsid w:val="3F179D48"/>
    <w:rsid w:val="3F1BE6F1"/>
    <w:rsid w:val="3F263307"/>
    <w:rsid w:val="3F26F748"/>
    <w:rsid w:val="3F280E78"/>
    <w:rsid w:val="3F2945E8"/>
    <w:rsid w:val="3F2A21A7"/>
    <w:rsid w:val="3F2E9525"/>
    <w:rsid w:val="3F34FBB1"/>
    <w:rsid w:val="3F3EAB73"/>
    <w:rsid w:val="3F438808"/>
    <w:rsid w:val="3F43F2A0"/>
    <w:rsid w:val="3F442B25"/>
    <w:rsid w:val="3F483C71"/>
    <w:rsid w:val="3F555A32"/>
    <w:rsid w:val="3F5589F1"/>
    <w:rsid w:val="3F56EC72"/>
    <w:rsid w:val="3F573839"/>
    <w:rsid w:val="3F5CC2F3"/>
    <w:rsid w:val="3F5F8A57"/>
    <w:rsid w:val="3F61DB36"/>
    <w:rsid w:val="3F67ADF5"/>
    <w:rsid w:val="3F6C07E9"/>
    <w:rsid w:val="3F71FD20"/>
    <w:rsid w:val="3F743C42"/>
    <w:rsid w:val="3F78F4BF"/>
    <w:rsid w:val="3F796867"/>
    <w:rsid w:val="3F7CCA61"/>
    <w:rsid w:val="3F7CF2E4"/>
    <w:rsid w:val="3F8143D9"/>
    <w:rsid w:val="3F8EDCC8"/>
    <w:rsid w:val="3F940AA3"/>
    <w:rsid w:val="3F94407C"/>
    <w:rsid w:val="3F9D03E6"/>
    <w:rsid w:val="3F9DF8A7"/>
    <w:rsid w:val="3FB6AC24"/>
    <w:rsid w:val="3FBA45DB"/>
    <w:rsid w:val="3FC03FBA"/>
    <w:rsid w:val="3FC1676D"/>
    <w:rsid w:val="3FC5B435"/>
    <w:rsid w:val="3FC71A54"/>
    <w:rsid w:val="3FC9A8FE"/>
    <w:rsid w:val="3FCE3F53"/>
    <w:rsid w:val="3FDADDB4"/>
    <w:rsid w:val="3FDEF856"/>
    <w:rsid w:val="3FE04DC7"/>
    <w:rsid w:val="3FE15700"/>
    <w:rsid w:val="3FE52340"/>
    <w:rsid w:val="3FE5A551"/>
    <w:rsid w:val="3FE7D1E7"/>
    <w:rsid w:val="3FEBE017"/>
    <w:rsid w:val="3FF540F9"/>
    <w:rsid w:val="3FFA9E85"/>
    <w:rsid w:val="4001896F"/>
    <w:rsid w:val="4010416D"/>
    <w:rsid w:val="40105447"/>
    <w:rsid w:val="40139E6F"/>
    <w:rsid w:val="40144FE7"/>
    <w:rsid w:val="40165563"/>
    <w:rsid w:val="401C59CD"/>
    <w:rsid w:val="401EDFB1"/>
    <w:rsid w:val="401FB20A"/>
    <w:rsid w:val="4021B7A8"/>
    <w:rsid w:val="40240945"/>
    <w:rsid w:val="40256039"/>
    <w:rsid w:val="402AF326"/>
    <w:rsid w:val="4034D468"/>
    <w:rsid w:val="4035833C"/>
    <w:rsid w:val="403E77FD"/>
    <w:rsid w:val="4040C6F2"/>
    <w:rsid w:val="40469CE8"/>
    <w:rsid w:val="40484871"/>
    <w:rsid w:val="4049976F"/>
    <w:rsid w:val="404E55CE"/>
    <w:rsid w:val="40505AC2"/>
    <w:rsid w:val="4052B2EA"/>
    <w:rsid w:val="4063A1E0"/>
    <w:rsid w:val="4068E1DB"/>
    <w:rsid w:val="406FC74A"/>
    <w:rsid w:val="407162B0"/>
    <w:rsid w:val="407AAEE2"/>
    <w:rsid w:val="4082A743"/>
    <w:rsid w:val="408B6BD1"/>
    <w:rsid w:val="4090D97E"/>
    <w:rsid w:val="409AC73B"/>
    <w:rsid w:val="40A25F7F"/>
    <w:rsid w:val="40A80E0B"/>
    <w:rsid w:val="40A9C363"/>
    <w:rsid w:val="40AA6E0F"/>
    <w:rsid w:val="40AF9367"/>
    <w:rsid w:val="40B02FF7"/>
    <w:rsid w:val="40B0F809"/>
    <w:rsid w:val="40B3A085"/>
    <w:rsid w:val="40BB5F7F"/>
    <w:rsid w:val="40BCC25D"/>
    <w:rsid w:val="40C138F8"/>
    <w:rsid w:val="40C51649"/>
    <w:rsid w:val="40D0A113"/>
    <w:rsid w:val="40D24BBB"/>
    <w:rsid w:val="40DC8AB3"/>
    <w:rsid w:val="40E3C096"/>
    <w:rsid w:val="40E40CD2"/>
    <w:rsid w:val="40EC692A"/>
    <w:rsid w:val="40ECFCF2"/>
    <w:rsid w:val="40EE2925"/>
    <w:rsid w:val="40F3D6F4"/>
    <w:rsid w:val="40F6F034"/>
    <w:rsid w:val="40F776F8"/>
    <w:rsid w:val="40F7816C"/>
    <w:rsid w:val="40F7E7A2"/>
    <w:rsid w:val="40F81D2F"/>
    <w:rsid w:val="40FC6FC7"/>
    <w:rsid w:val="40FE9EFB"/>
    <w:rsid w:val="41012A64"/>
    <w:rsid w:val="41021451"/>
    <w:rsid w:val="410EA249"/>
    <w:rsid w:val="41100CA3"/>
    <w:rsid w:val="4113E97C"/>
    <w:rsid w:val="41143AF3"/>
    <w:rsid w:val="4115D139"/>
    <w:rsid w:val="41175355"/>
    <w:rsid w:val="4119C088"/>
    <w:rsid w:val="411F0CEA"/>
    <w:rsid w:val="411F2F16"/>
    <w:rsid w:val="4127B106"/>
    <w:rsid w:val="412A5721"/>
    <w:rsid w:val="412A8CCE"/>
    <w:rsid w:val="412C4665"/>
    <w:rsid w:val="412C5ADA"/>
    <w:rsid w:val="4132F416"/>
    <w:rsid w:val="41336B28"/>
    <w:rsid w:val="414A6C9D"/>
    <w:rsid w:val="414E31F6"/>
    <w:rsid w:val="4153E202"/>
    <w:rsid w:val="4155D09F"/>
    <w:rsid w:val="4159B051"/>
    <w:rsid w:val="415E0802"/>
    <w:rsid w:val="41606B1D"/>
    <w:rsid w:val="416272FF"/>
    <w:rsid w:val="4162752B"/>
    <w:rsid w:val="4165C3E1"/>
    <w:rsid w:val="4168A315"/>
    <w:rsid w:val="416F378D"/>
    <w:rsid w:val="41723B96"/>
    <w:rsid w:val="417DB8CB"/>
    <w:rsid w:val="41819F4E"/>
    <w:rsid w:val="41841763"/>
    <w:rsid w:val="418BC26E"/>
    <w:rsid w:val="4192063C"/>
    <w:rsid w:val="41964ED9"/>
    <w:rsid w:val="41999092"/>
    <w:rsid w:val="419D0B4B"/>
    <w:rsid w:val="419DEC75"/>
    <w:rsid w:val="41A085BD"/>
    <w:rsid w:val="41A8E956"/>
    <w:rsid w:val="41A9C6E4"/>
    <w:rsid w:val="41B12558"/>
    <w:rsid w:val="41BB826B"/>
    <w:rsid w:val="41BFD4C6"/>
    <w:rsid w:val="41C165CF"/>
    <w:rsid w:val="41C234EB"/>
    <w:rsid w:val="41C424E5"/>
    <w:rsid w:val="41C9D027"/>
    <w:rsid w:val="41CBC54D"/>
    <w:rsid w:val="41CCDC70"/>
    <w:rsid w:val="41D7E04F"/>
    <w:rsid w:val="41EB345C"/>
    <w:rsid w:val="41F96803"/>
    <w:rsid w:val="41F9CA18"/>
    <w:rsid w:val="41FD2566"/>
    <w:rsid w:val="420936E6"/>
    <w:rsid w:val="4209C964"/>
    <w:rsid w:val="4209F873"/>
    <w:rsid w:val="42119265"/>
    <w:rsid w:val="4211B0E6"/>
    <w:rsid w:val="42136022"/>
    <w:rsid w:val="421D1EAB"/>
    <w:rsid w:val="421E91E9"/>
    <w:rsid w:val="421F3A72"/>
    <w:rsid w:val="4229350D"/>
    <w:rsid w:val="4229437E"/>
    <w:rsid w:val="422F08A6"/>
    <w:rsid w:val="4234D2DE"/>
    <w:rsid w:val="42355B16"/>
    <w:rsid w:val="424170D7"/>
    <w:rsid w:val="4241AE23"/>
    <w:rsid w:val="42446196"/>
    <w:rsid w:val="42499310"/>
    <w:rsid w:val="424D807E"/>
    <w:rsid w:val="42580945"/>
    <w:rsid w:val="425B6D53"/>
    <w:rsid w:val="425E4DFF"/>
    <w:rsid w:val="425E8358"/>
    <w:rsid w:val="425EB6D9"/>
    <w:rsid w:val="426955E7"/>
    <w:rsid w:val="426C82D9"/>
    <w:rsid w:val="426FCFBA"/>
    <w:rsid w:val="4270321C"/>
    <w:rsid w:val="42707B78"/>
    <w:rsid w:val="42707F9D"/>
    <w:rsid w:val="4272024D"/>
    <w:rsid w:val="427616B6"/>
    <w:rsid w:val="427EBC34"/>
    <w:rsid w:val="4282DBFF"/>
    <w:rsid w:val="4283E36D"/>
    <w:rsid w:val="4283E96D"/>
    <w:rsid w:val="428557E8"/>
    <w:rsid w:val="4287DB43"/>
    <w:rsid w:val="428BD359"/>
    <w:rsid w:val="428F554F"/>
    <w:rsid w:val="429092D8"/>
    <w:rsid w:val="429BA6D5"/>
    <w:rsid w:val="42A4AA43"/>
    <w:rsid w:val="42A605F8"/>
    <w:rsid w:val="42ABDF32"/>
    <w:rsid w:val="42ABF26F"/>
    <w:rsid w:val="42B12272"/>
    <w:rsid w:val="42BC262A"/>
    <w:rsid w:val="42BC5C8F"/>
    <w:rsid w:val="42BC6D12"/>
    <w:rsid w:val="42BCDBFE"/>
    <w:rsid w:val="42CE8CDD"/>
    <w:rsid w:val="42CF07C7"/>
    <w:rsid w:val="42D2EFA9"/>
    <w:rsid w:val="42D67EF3"/>
    <w:rsid w:val="42D871A6"/>
    <w:rsid w:val="42DC1EE7"/>
    <w:rsid w:val="42E36597"/>
    <w:rsid w:val="42EC5E49"/>
    <w:rsid w:val="42F432D1"/>
    <w:rsid w:val="42FC6869"/>
    <w:rsid w:val="42FD9498"/>
    <w:rsid w:val="42FF55CE"/>
    <w:rsid w:val="43034FAC"/>
    <w:rsid w:val="430424B7"/>
    <w:rsid w:val="430465A6"/>
    <w:rsid w:val="430B23C1"/>
    <w:rsid w:val="430C270C"/>
    <w:rsid w:val="43127F91"/>
    <w:rsid w:val="43138ACD"/>
    <w:rsid w:val="431B187C"/>
    <w:rsid w:val="431E4A6F"/>
    <w:rsid w:val="4334F999"/>
    <w:rsid w:val="4335B0C9"/>
    <w:rsid w:val="433678A4"/>
    <w:rsid w:val="433FDC5A"/>
    <w:rsid w:val="43425A03"/>
    <w:rsid w:val="4344B9B7"/>
    <w:rsid w:val="43484063"/>
    <w:rsid w:val="434AA271"/>
    <w:rsid w:val="434EB9D4"/>
    <w:rsid w:val="43520BC6"/>
    <w:rsid w:val="435674A6"/>
    <w:rsid w:val="435BC95D"/>
    <w:rsid w:val="435CBD36"/>
    <w:rsid w:val="4360769A"/>
    <w:rsid w:val="436BBCA1"/>
    <w:rsid w:val="436D1767"/>
    <w:rsid w:val="436E4130"/>
    <w:rsid w:val="43717464"/>
    <w:rsid w:val="4378C700"/>
    <w:rsid w:val="4389F9B6"/>
    <w:rsid w:val="438F2556"/>
    <w:rsid w:val="43950426"/>
    <w:rsid w:val="4395323E"/>
    <w:rsid w:val="4395D3C5"/>
    <w:rsid w:val="439926D7"/>
    <w:rsid w:val="43A503CB"/>
    <w:rsid w:val="43A7680C"/>
    <w:rsid w:val="43AA4739"/>
    <w:rsid w:val="43ABF94E"/>
    <w:rsid w:val="43B09D38"/>
    <w:rsid w:val="43B16D5D"/>
    <w:rsid w:val="43BA2710"/>
    <w:rsid w:val="43BB633B"/>
    <w:rsid w:val="43BD4EFF"/>
    <w:rsid w:val="43C43EB9"/>
    <w:rsid w:val="43C538C1"/>
    <w:rsid w:val="43C59DF0"/>
    <w:rsid w:val="43C90BFC"/>
    <w:rsid w:val="43C9E3C5"/>
    <w:rsid w:val="43D11FFB"/>
    <w:rsid w:val="43D2336A"/>
    <w:rsid w:val="43D44C15"/>
    <w:rsid w:val="43D53943"/>
    <w:rsid w:val="43D83F0F"/>
    <w:rsid w:val="43DA24AE"/>
    <w:rsid w:val="43DF0B47"/>
    <w:rsid w:val="43EAD4C3"/>
    <w:rsid w:val="43EBA36F"/>
    <w:rsid w:val="43EFAAC8"/>
    <w:rsid w:val="43F26FFC"/>
    <w:rsid w:val="43F37A28"/>
    <w:rsid w:val="43FBD420"/>
    <w:rsid w:val="43FDF8CB"/>
    <w:rsid w:val="4400876F"/>
    <w:rsid w:val="4404FC18"/>
    <w:rsid w:val="4408E520"/>
    <w:rsid w:val="4409DB45"/>
    <w:rsid w:val="4412078E"/>
    <w:rsid w:val="44137EFA"/>
    <w:rsid w:val="4413D6D6"/>
    <w:rsid w:val="441D3122"/>
    <w:rsid w:val="441F99F3"/>
    <w:rsid w:val="441FD778"/>
    <w:rsid w:val="44207456"/>
    <w:rsid w:val="442786F6"/>
    <w:rsid w:val="4428E3E2"/>
    <w:rsid w:val="443E60A3"/>
    <w:rsid w:val="44450586"/>
    <w:rsid w:val="4446CF5A"/>
    <w:rsid w:val="444B5DBB"/>
    <w:rsid w:val="444E3FE5"/>
    <w:rsid w:val="444EFA65"/>
    <w:rsid w:val="4455C1DA"/>
    <w:rsid w:val="44581F87"/>
    <w:rsid w:val="445ED9FE"/>
    <w:rsid w:val="4467E407"/>
    <w:rsid w:val="446AAEAF"/>
    <w:rsid w:val="447071F5"/>
    <w:rsid w:val="44724BBD"/>
    <w:rsid w:val="44761862"/>
    <w:rsid w:val="4476B8D4"/>
    <w:rsid w:val="447EBA59"/>
    <w:rsid w:val="447F9F6F"/>
    <w:rsid w:val="44816AFD"/>
    <w:rsid w:val="44845FBD"/>
    <w:rsid w:val="448A4654"/>
    <w:rsid w:val="448B61AA"/>
    <w:rsid w:val="448CDC1C"/>
    <w:rsid w:val="44910B52"/>
    <w:rsid w:val="4493978A"/>
    <w:rsid w:val="4499B7A5"/>
    <w:rsid w:val="449C1869"/>
    <w:rsid w:val="44A34793"/>
    <w:rsid w:val="44AD411A"/>
    <w:rsid w:val="44B07735"/>
    <w:rsid w:val="44BA185B"/>
    <w:rsid w:val="44BA735F"/>
    <w:rsid w:val="44BE68C5"/>
    <w:rsid w:val="44C73DB4"/>
    <w:rsid w:val="44C7D642"/>
    <w:rsid w:val="44C862DC"/>
    <w:rsid w:val="44CE2A3A"/>
    <w:rsid w:val="44CFC3C8"/>
    <w:rsid w:val="44D1A0A7"/>
    <w:rsid w:val="44DB5779"/>
    <w:rsid w:val="44DC5C7F"/>
    <w:rsid w:val="44E954B1"/>
    <w:rsid w:val="44ECC623"/>
    <w:rsid w:val="44EDF831"/>
    <w:rsid w:val="44F2B6EB"/>
    <w:rsid w:val="44F9218C"/>
    <w:rsid w:val="44F9D5AD"/>
    <w:rsid w:val="45024DDC"/>
    <w:rsid w:val="45026200"/>
    <w:rsid w:val="450A50BC"/>
    <w:rsid w:val="451080B6"/>
    <w:rsid w:val="45128657"/>
    <w:rsid w:val="45144A08"/>
    <w:rsid w:val="451480FF"/>
    <w:rsid w:val="4517B66E"/>
    <w:rsid w:val="451B7802"/>
    <w:rsid w:val="451BD1FF"/>
    <w:rsid w:val="451F73E3"/>
    <w:rsid w:val="45235D42"/>
    <w:rsid w:val="45298018"/>
    <w:rsid w:val="452D72A1"/>
    <w:rsid w:val="4531AF8D"/>
    <w:rsid w:val="453768B6"/>
    <w:rsid w:val="454B5D67"/>
    <w:rsid w:val="454DA1EE"/>
    <w:rsid w:val="454DB217"/>
    <w:rsid w:val="4556B862"/>
    <w:rsid w:val="455A5CFA"/>
    <w:rsid w:val="455BE061"/>
    <w:rsid w:val="455D5EA8"/>
    <w:rsid w:val="4570F29D"/>
    <w:rsid w:val="457B49EF"/>
    <w:rsid w:val="45839DA7"/>
    <w:rsid w:val="45854500"/>
    <w:rsid w:val="45861942"/>
    <w:rsid w:val="458F4A89"/>
    <w:rsid w:val="458F7A59"/>
    <w:rsid w:val="458F819D"/>
    <w:rsid w:val="4597070A"/>
    <w:rsid w:val="4599F2C0"/>
    <w:rsid w:val="459A0723"/>
    <w:rsid w:val="459A2C6C"/>
    <w:rsid w:val="45A51394"/>
    <w:rsid w:val="45A5A906"/>
    <w:rsid w:val="45AF80A2"/>
    <w:rsid w:val="45AFE3BD"/>
    <w:rsid w:val="45B47935"/>
    <w:rsid w:val="45B4F22F"/>
    <w:rsid w:val="45B74A71"/>
    <w:rsid w:val="45BE545C"/>
    <w:rsid w:val="45C6F611"/>
    <w:rsid w:val="45CA628E"/>
    <w:rsid w:val="45D017F9"/>
    <w:rsid w:val="45D5E5FB"/>
    <w:rsid w:val="45D7A53B"/>
    <w:rsid w:val="45D9100D"/>
    <w:rsid w:val="45DC4F7D"/>
    <w:rsid w:val="45DD7A4C"/>
    <w:rsid w:val="45E37DC6"/>
    <w:rsid w:val="45E5F615"/>
    <w:rsid w:val="45E709B4"/>
    <w:rsid w:val="45E7E85C"/>
    <w:rsid w:val="45E93C80"/>
    <w:rsid w:val="45E9D1D1"/>
    <w:rsid w:val="45EB387B"/>
    <w:rsid w:val="45EC1A89"/>
    <w:rsid w:val="45F373DE"/>
    <w:rsid w:val="45F6E11E"/>
    <w:rsid w:val="45FBA2A5"/>
    <w:rsid w:val="45FE8C53"/>
    <w:rsid w:val="45FF2130"/>
    <w:rsid w:val="45FF3C24"/>
    <w:rsid w:val="46010C5B"/>
    <w:rsid w:val="4604C1CC"/>
    <w:rsid w:val="4605E6C5"/>
    <w:rsid w:val="460FEA1B"/>
    <w:rsid w:val="46161704"/>
    <w:rsid w:val="46161E05"/>
    <w:rsid w:val="46196E30"/>
    <w:rsid w:val="46226B51"/>
    <w:rsid w:val="46239FF5"/>
    <w:rsid w:val="4625BAD7"/>
    <w:rsid w:val="462B184F"/>
    <w:rsid w:val="4638A39A"/>
    <w:rsid w:val="463AAEAF"/>
    <w:rsid w:val="463BCDCC"/>
    <w:rsid w:val="464371CE"/>
    <w:rsid w:val="4644F6F5"/>
    <w:rsid w:val="4646BDAA"/>
    <w:rsid w:val="464AFCB4"/>
    <w:rsid w:val="46600045"/>
    <w:rsid w:val="4661D735"/>
    <w:rsid w:val="46726505"/>
    <w:rsid w:val="4674D699"/>
    <w:rsid w:val="4679BC71"/>
    <w:rsid w:val="467C950C"/>
    <w:rsid w:val="467E874A"/>
    <w:rsid w:val="46930654"/>
    <w:rsid w:val="469AC5DC"/>
    <w:rsid w:val="469E40A2"/>
    <w:rsid w:val="46A98117"/>
    <w:rsid w:val="46B4FC58"/>
    <w:rsid w:val="46BDD8AE"/>
    <w:rsid w:val="46CB21B7"/>
    <w:rsid w:val="46CE080C"/>
    <w:rsid w:val="46D75983"/>
    <w:rsid w:val="46D8DA9B"/>
    <w:rsid w:val="46DF08CE"/>
    <w:rsid w:val="46DF0E99"/>
    <w:rsid w:val="46DF338F"/>
    <w:rsid w:val="46E607F7"/>
    <w:rsid w:val="46E7DCE7"/>
    <w:rsid w:val="46E8F8D5"/>
    <w:rsid w:val="46EAEB62"/>
    <w:rsid w:val="46EF71F1"/>
    <w:rsid w:val="46FE0F72"/>
    <w:rsid w:val="47006935"/>
    <w:rsid w:val="47104136"/>
    <w:rsid w:val="4712B2C3"/>
    <w:rsid w:val="47156DC7"/>
    <w:rsid w:val="471DD700"/>
    <w:rsid w:val="471DF062"/>
    <w:rsid w:val="471F40DB"/>
    <w:rsid w:val="471F8389"/>
    <w:rsid w:val="4727E9D7"/>
    <w:rsid w:val="4729C1A1"/>
    <w:rsid w:val="472E6EE1"/>
    <w:rsid w:val="4740700B"/>
    <w:rsid w:val="4748E25C"/>
    <w:rsid w:val="4751893D"/>
    <w:rsid w:val="475C28E3"/>
    <w:rsid w:val="4761A52F"/>
    <w:rsid w:val="47649BE0"/>
    <w:rsid w:val="476A37FE"/>
    <w:rsid w:val="47762DA4"/>
    <w:rsid w:val="47794438"/>
    <w:rsid w:val="477BED7B"/>
    <w:rsid w:val="478EA000"/>
    <w:rsid w:val="478F098D"/>
    <w:rsid w:val="4792B17F"/>
    <w:rsid w:val="479571A8"/>
    <w:rsid w:val="4798B108"/>
    <w:rsid w:val="47998FB3"/>
    <w:rsid w:val="479E0470"/>
    <w:rsid w:val="47A5D713"/>
    <w:rsid w:val="47A7D38F"/>
    <w:rsid w:val="47B2FCA5"/>
    <w:rsid w:val="47B99604"/>
    <w:rsid w:val="47C1B1C6"/>
    <w:rsid w:val="47C66EC5"/>
    <w:rsid w:val="47CDB9D6"/>
    <w:rsid w:val="47D691BF"/>
    <w:rsid w:val="47F640E2"/>
    <w:rsid w:val="47FBF8A8"/>
    <w:rsid w:val="47FD4193"/>
    <w:rsid w:val="47FFA5BA"/>
    <w:rsid w:val="48019EB4"/>
    <w:rsid w:val="4803F142"/>
    <w:rsid w:val="48052901"/>
    <w:rsid w:val="4805905D"/>
    <w:rsid w:val="4806BAD7"/>
    <w:rsid w:val="4808AC9A"/>
    <w:rsid w:val="480BE3AA"/>
    <w:rsid w:val="480DC455"/>
    <w:rsid w:val="481204F5"/>
    <w:rsid w:val="4812B391"/>
    <w:rsid w:val="481EB904"/>
    <w:rsid w:val="481F122E"/>
    <w:rsid w:val="48219F3B"/>
    <w:rsid w:val="4823D97B"/>
    <w:rsid w:val="4828D84C"/>
    <w:rsid w:val="482910AD"/>
    <w:rsid w:val="482A2101"/>
    <w:rsid w:val="482A4CE5"/>
    <w:rsid w:val="482AC3EF"/>
    <w:rsid w:val="482EC3DF"/>
    <w:rsid w:val="48343723"/>
    <w:rsid w:val="483BDECF"/>
    <w:rsid w:val="483E50DE"/>
    <w:rsid w:val="48419D1F"/>
    <w:rsid w:val="484C387F"/>
    <w:rsid w:val="4850E62E"/>
    <w:rsid w:val="48548688"/>
    <w:rsid w:val="4859B592"/>
    <w:rsid w:val="4860119A"/>
    <w:rsid w:val="4861286E"/>
    <w:rsid w:val="486C67FB"/>
    <w:rsid w:val="486F4281"/>
    <w:rsid w:val="48744A08"/>
    <w:rsid w:val="487ABD28"/>
    <w:rsid w:val="487CB5C2"/>
    <w:rsid w:val="487D2685"/>
    <w:rsid w:val="487F8F14"/>
    <w:rsid w:val="488018B1"/>
    <w:rsid w:val="4880CA41"/>
    <w:rsid w:val="4881535B"/>
    <w:rsid w:val="48821730"/>
    <w:rsid w:val="4882C1E0"/>
    <w:rsid w:val="48849C6B"/>
    <w:rsid w:val="48867472"/>
    <w:rsid w:val="4886F2EC"/>
    <w:rsid w:val="4888E3B8"/>
    <w:rsid w:val="488A8F2C"/>
    <w:rsid w:val="488BDBB5"/>
    <w:rsid w:val="4891DD70"/>
    <w:rsid w:val="48A7779F"/>
    <w:rsid w:val="48AB2334"/>
    <w:rsid w:val="48AC1197"/>
    <w:rsid w:val="48AD0CE7"/>
    <w:rsid w:val="48AD9DCB"/>
    <w:rsid w:val="48AEB3DC"/>
    <w:rsid w:val="48AF433C"/>
    <w:rsid w:val="48BBD65D"/>
    <w:rsid w:val="48BE6F85"/>
    <w:rsid w:val="48C00577"/>
    <w:rsid w:val="48CCBAB8"/>
    <w:rsid w:val="48CD299F"/>
    <w:rsid w:val="48D02F0A"/>
    <w:rsid w:val="48D080D9"/>
    <w:rsid w:val="48D56F2E"/>
    <w:rsid w:val="48D6EE72"/>
    <w:rsid w:val="48D7E48C"/>
    <w:rsid w:val="48D7F086"/>
    <w:rsid w:val="48DD7D1E"/>
    <w:rsid w:val="48E8C05A"/>
    <w:rsid w:val="48E8D9D3"/>
    <w:rsid w:val="48E8DAF3"/>
    <w:rsid w:val="48EAFB64"/>
    <w:rsid w:val="48EC34B7"/>
    <w:rsid w:val="48FC16D9"/>
    <w:rsid w:val="490221F8"/>
    <w:rsid w:val="490CE096"/>
    <w:rsid w:val="490F4218"/>
    <w:rsid w:val="4910A875"/>
    <w:rsid w:val="4913843C"/>
    <w:rsid w:val="4915432E"/>
    <w:rsid w:val="4916570C"/>
    <w:rsid w:val="49191443"/>
    <w:rsid w:val="491D50C2"/>
    <w:rsid w:val="491F6579"/>
    <w:rsid w:val="491F65B4"/>
    <w:rsid w:val="4923E3FC"/>
    <w:rsid w:val="4923FCF6"/>
    <w:rsid w:val="492BA2B6"/>
    <w:rsid w:val="492C24B8"/>
    <w:rsid w:val="49335A86"/>
    <w:rsid w:val="49368872"/>
    <w:rsid w:val="49370658"/>
    <w:rsid w:val="4943A5B3"/>
    <w:rsid w:val="49448492"/>
    <w:rsid w:val="49448658"/>
    <w:rsid w:val="49449F45"/>
    <w:rsid w:val="4948CC76"/>
    <w:rsid w:val="495DDFAE"/>
    <w:rsid w:val="4968B8DF"/>
    <w:rsid w:val="4968BA3D"/>
    <w:rsid w:val="496CD0E4"/>
    <w:rsid w:val="4972E063"/>
    <w:rsid w:val="49767D92"/>
    <w:rsid w:val="49806DE1"/>
    <w:rsid w:val="498B9045"/>
    <w:rsid w:val="498C0718"/>
    <w:rsid w:val="498C4EFB"/>
    <w:rsid w:val="498E2EB1"/>
    <w:rsid w:val="49931FB3"/>
    <w:rsid w:val="4997CC49"/>
    <w:rsid w:val="499A32C3"/>
    <w:rsid w:val="499B89B9"/>
    <w:rsid w:val="499C8B52"/>
    <w:rsid w:val="49A8C6F7"/>
    <w:rsid w:val="49BE264E"/>
    <w:rsid w:val="49C56AB3"/>
    <w:rsid w:val="49CE30D3"/>
    <w:rsid w:val="49D1CC0C"/>
    <w:rsid w:val="49DB9448"/>
    <w:rsid w:val="49E6B678"/>
    <w:rsid w:val="49E6D88D"/>
    <w:rsid w:val="49F1D350"/>
    <w:rsid w:val="49F96979"/>
    <w:rsid w:val="49FD584F"/>
    <w:rsid w:val="4A07A6AE"/>
    <w:rsid w:val="4A196926"/>
    <w:rsid w:val="4A1CA44A"/>
    <w:rsid w:val="4A1CF25F"/>
    <w:rsid w:val="4A1EFB64"/>
    <w:rsid w:val="4A1F5F65"/>
    <w:rsid w:val="4A28D098"/>
    <w:rsid w:val="4A2C585F"/>
    <w:rsid w:val="4A2FB59E"/>
    <w:rsid w:val="4A379C7F"/>
    <w:rsid w:val="4A3AB834"/>
    <w:rsid w:val="4A3F0EF2"/>
    <w:rsid w:val="4A449ACD"/>
    <w:rsid w:val="4A52D637"/>
    <w:rsid w:val="4A53F3C8"/>
    <w:rsid w:val="4A55D25E"/>
    <w:rsid w:val="4A5625C3"/>
    <w:rsid w:val="4A59E46D"/>
    <w:rsid w:val="4A5D946E"/>
    <w:rsid w:val="4A6198AC"/>
    <w:rsid w:val="4A648F96"/>
    <w:rsid w:val="4A6B927C"/>
    <w:rsid w:val="4A7A9456"/>
    <w:rsid w:val="4A7D4FA6"/>
    <w:rsid w:val="4A87EA58"/>
    <w:rsid w:val="4A911CD7"/>
    <w:rsid w:val="4A9831B0"/>
    <w:rsid w:val="4A9A64AF"/>
    <w:rsid w:val="4A9BA4F5"/>
    <w:rsid w:val="4A9D1AF0"/>
    <w:rsid w:val="4AA2E800"/>
    <w:rsid w:val="4AA46C08"/>
    <w:rsid w:val="4AA75823"/>
    <w:rsid w:val="4AA8BA4D"/>
    <w:rsid w:val="4AA9B048"/>
    <w:rsid w:val="4AB82FCB"/>
    <w:rsid w:val="4AC90C03"/>
    <w:rsid w:val="4ACF3DDF"/>
    <w:rsid w:val="4AD0E0F0"/>
    <w:rsid w:val="4AD5C832"/>
    <w:rsid w:val="4ADFFBEF"/>
    <w:rsid w:val="4AE02D63"/>
    <w:rsid w:val="4AE3A4F4"/>
    <w:rsid w:val="4AE43F3C"/>
    <w:rsid w:val="4AE9BC9A"/>
    <w:rsid w:val="4AF36F46"/>
    <w:rsid w:val="4AF765FC"/>
    <w:rsid w:val="4AFABFDC"/>
    <w:rsid w:val="4B006C2D"/>
    <w:rsid w:val="4B0315A1"/>
    <w:rsid w:val="4B039370"/>
    <w:rsid w:val="4B053243"/>
    <w:rsid w:val="4B05516A"/>
    <w:rsid w:val="4B057455"/>
    <w:rsid w:val="4B05B4FE"/>
    <w:rsid w:val="4B0D4BB0"/>
    <w:rsid w:val="4B10313E"/>
    <w:rsid w:val="4B138F45"/>
    <w:rsid w:val="4B18DD6F"/>
    <w:rsid w:val="4B19D9DD"/>
    <w:rsid w:val="4B1F98B1"/>
    <w:rsid w:val="4B208CE0"/>
    <w:rsid w:val="4B2BEDE2"/>
    <w:rsid w:val="4B309EB4"/>
    <w:rsid w:val="4B319F1A"/>
    <w:rsid w:val="4B329092"/>
    <w:rsid w:val="4B339CAA"/>
    <w:rsid w:val="4B357683"/>
    <w:rsid w:val="4B3A29EB"/>
    <w:rsid w:val="4B3BED75"/>
    <w:rsid w:val="4B3D32F7"/>
    <w:rsid w:val="4B41448A"/>
    <w:rsid w:val="4B62089D"/>
    <w:rsid w:val="4B679044"/>
    <w:rsid w:val="4B6A7BFD"/>
    <w:rsid w:val="4B6B2A3D"/>
    <w:rsid w:val="4B759B49"/>
    <w:rsid w:val="4B7A058B"/>
    <w:rsid w:val="4B80E1EF"/>
    <w:rsid w:val="4B872CED"/>
    <w:rsid w:val="4B890273"/>
    <w:rsid w:val="4B8CB768"/>
    <w:rsid w:val="4B97568A"/>
    <w:rsid w:val="4B97ECAE"/>
    <w:rsid w:val="4BA36568"/>
    <w:rsid w:val="4BA47B3A"/>
    <w:rsid w:val="4BB0602A"/>
    <w:rsid w:val="4BB3F7FC"/>
    <w:rsid w:val="4BB9ACC5"/>
    <w:rsid w:val="4BBEA751"/>
    <w:rsid w:val="4BC45C4C"/>
    <w:rsid w:val="4BCE0FFC"/>
    <w:rsid w:val="4BCE865D"/>
    <w:rsid w:val="4BE5434C"/>
    <w:rsid w:val="4BE7379A"/>
    <w:rsid w:val="4BE7A8FE"/>
    <w:rsid w:val="4BE834EA"/>
    <w:rsid w:val="4BEC4CED"/>
    <w:rsid w:val="4BED2DEB"/>
    <w:rsid w:val="4BEE568D"/>
    <w:rsid w:val="4BF013BD"/>
    <w:rsid w:val="4BF0DF98"/>
    <w:rsid w:val="4BF3F042"/>
    <w:rsid w:val="4BF6B190"/>
    <w:rsid w:val="4BFA68AB"/>
    <w:rsid w:val="4C070350"/>
    <w:rsid w:val="4C130388"/>
    <w:rsid w:val="4C17454C"/>
    <w:rsid w:val="4C21FFB4"/>
    <w:rsid w:val="4C268BF5"/>
    <w:rsid w:val="4C2A12D6"/>
    <w:rsid w:val="4C3040F3"/>
    <w:rsid w:val="4C358366"/>
    <w:rsid w:val="4C366AAC"/>
    <w:rsid w:val="4C38F61D"/>
    <w:rsid w:val="4C3B323A"/>
    <w:rsid w:val="4C3CE521"/>
    <w:rsid w:val="4C42A8AF"/>
    <w:rsid w:val="4C491695"/>
    <w:rsid w:val="4C4A1678"/>
    <w:rsid w:val="4C5BC797"/>
    <w:rsid w:val="4C5E620F"/>
    <w:rsid w:val="4C5E67ED"/>
    <w:rsid w:val="4C6568BC"/>
    <w:rsid w:val="4C65B70E"/>
    <w:rsid w:val="4C6D0050"/>
    <w:rsid w:val="4C6E73D7"/>
    <w:rsid w:val="4C77304C"/>
    <w:rsid w:val="4C77E581"/>
    <w:rsid w:val="4C7C4726"/>
    <w:rsid w:val="4C800D09"/>
    <w:rsid w:val="4C8A5AA8"/>
    <w:rsid w:val="4C8C2D5D"/>
    <w:rsid w:val="4C8C9EFA"/>
    <w:rsid w:val="4CA3281E"/>
    <w:rsid w:val="4CA5622B"/>
    <w:rsid w:val="4CA91C11"/>
    <w:rsid w:val="4CB063A8"/>
    <w:rsid w:val="4CB32D0C"/>
    <w:rsid w:val="4CC1B065"/>
    <w:rsid w:val="4CC74DD3"/>
    <w:rsid w:val="4CC7E25D"/>
    <w:rsid w:val="4CCAC0B5"/>
    <w:rsid w:val="4CCBEA9F"/>
    <w:rsid w:val="4CCDAF39"/>
    <w:rsid w:val="4CCF9784"/>
    <w:rsid w:val="4CCFABC9"/>
    <w:rsid w:val="4CD52E42"/>
    <w:rsid w:val="4CD550FD"/>
    <w:rsid w:val="4CDDEC72"/>
    <w:rsid w:val="4CDECD45"/>
    <w:rsid w:val="4CE132AA"/>
    <w:rsid w:val="4CEACDF0"/>
    <w:rsid w:val="4CEE2020"/>
    <w:rsid w:val="4CEFDBF0"/>
    <w:rsid w:val="4CF4E87E"/>
    <w:rsid w:val="4CF796CF"/>
    <w:rsid w:val="4CFA0888"/>
    <w:rsid w:val="4D031244"/>
    <w:rsid w:val="4D116BAA"/>
    <w:rsid w:val="4D13A515"/>
    <w:rsid w:val="4D18778B"/>
    <w:rsid w:val="4D1ABF76"/>
    <w:rsid w:val="4D21C819"/>
    <w:rsid w:val="4D27B855"/>
    <w:rsid w:val="4D28F877"/>
    <w:rsid w:val="4D3141ED"/>
    <w:rsid w:val="4D35D037"/>
    <w:rsid w:val="4D3C009D"/>
    <w:rsid w:val="4D3DF60E"/>
    <w:rsid w:val="4D48B4C3"/>
    <w:rsid w:val="4D49B305"/>
    <w:rsid w:val="4D542367"/>
    <w:rsid w:val="4D58DAFC"/>
    <w:rsid w:val="4D59A720"/>
    <w:rsid w:val="4D5C4AD0"/>
    <w:rsid w:val="4D6029F1"/>
    <w:rsid w:val="4D62EEB3"/>
    <w:rsid w:val="4D6B0851"/>
    <w:rsid w:val="4D70E404"/>
    <w:rsid w:val="4D73883C"/>
    <w:rsid w:val="4D793064"/>
    <w:rsid w:val="4D826303"/>
    <w:rsid w:val="4D84139A"/>
    <w:rsid w:val="4D88DACF"/>
    <w:rsid w:val="4D8A70F4"/>
    <w:rsid w:val="4D93EF54"/>
    <w:rsid w:val="4D950819"/>
    <w:rsid w:val="4D97AC03"/>
    <w:rsid w:val="4D97D750"/>
    <w:rsid w:val="4D9ADB40"/>
    <w:rsid w:val="4DA03BB3"/>
    <w:rsid w:val="4DA4A8D6"/>
    <w:rsid w:val="4DA87D6C"/>
    <w:rsid w:val="4DA8D1CC"/>
    <w:rsid w:val="4DAE7B9A"/>
    <w:rsid w:val="4DB54EF7"/>
    <w:rsid w:val="4DB74EE3"/>
    <w:rsid w:val="4DBF9606"/>
    <w:rsid w:val="4DC1A607"/>
    <w:rsid w:val="4DC2BB25"/>
    <w:rsid w:val="4DCBE72C"/>
    <w:rsid w:val="4DD49054"/>
    <w:rsid w:val="4DE03D5D"/>
    <w:rsid w:val="4DE418BA"/>
    <w:rsid w:val="4DF63E5A"/>
    <w:rsid w:val="4DF65345"/>
    <w:rsid w:val="4DF83602"/>
    <w:rsid w:val="4E01876F"/>
    <w:rsid w:val="4E024C19"/>
    <w:rsid w:val="4E046037"/>
    <w:rsid w:val="4E0A9297"/>
    <w:rsid w:val="4E110D25"/>
    <w:rsid w:val="4E14A30C"/>
    <w:rsid w:val="4E17E35D"/>
    <w:rsid w:val="4E20284E"/>
    <w:rsid w:val="4E211FB4"/>
    <w:rsid w:val="4E286F5B"/>
    <w:rsid w:val="4E2B2182"/>
    <w:rsid w:val="4E2C51EF"/>
    <w:rsid w:val="4E3442B5"/>
    <w:rsid w:val="4E3543FC"/>
    <w:rsid w:val="4E362AA3"/>
    <w:rsid w:val="4E36976D"/>
    <w:rsid w:val="4E3CD41D"/>
    <w:rsid w:val="4E487D11"/>
    <w:rsid w:val="4E51A635"/>
    <w:rsid w:val="4E54B5F1"/>
    <w:rsid w:val="4E5918A5"/>
    <w:rsid w:val="4E5B503F"/>
    <w:rsid w:val="4E5EC3FF"/>
    <w:rsid w:val="4E600125"/>
    <w:rsid w:val="4E68C451"/>
    <w:rsid w:val="4E6B1FF1"/>
    <w:rsid w:val="4E6B7C2A"/>
    <w:rsid w:val="4E6FF8C4"/>
    <w:rsid w:val="4E708EDF"/>
    <w:rsid w:val="4E7823BD"/>
    <w:rsid w:val="4E871A8C"/>
    <w:rsid w:val="4E896D1C"/>
    <w:rsid w:val="4E8F6EB0"/>
    <w:rsid w:val="4E968E54"/>
    <w:rsid w:val="4E9B42A4"/>
    <w:rsid w:val="4E9C573D"/>
    <w:rsid w:val="4E9E8359"/>
    <w:rsid w:val="4EA02992"/>
    <w:rsid w:val="4EA6C0D6"/>
    <w:rsid w:val="4EA86A5C"/>
    <w:rsid w:val="4EB3F437"/>
    <w:rsid w:val="4EB51335"/>
    <w:rsid w:val="4EBDE246"/>
    <w:rsid w:val="4EC4E0F7"/>
    <w:rsid w:val="4ED2D057"/>
    <w:rsid w:val="4ED37703"/>
    <w:rsid w:val="4ED436A2"/>
    <w:rsid w:val="4ED642F8"/>
    <w:rsid w:val="4ED6ED10"/>
    <w:rsid w:val="4EDA7809"/>
    <w:rsid w:val="4EDD1B84"/>
    <w:rsid w:val="4EDD4AC7"/>
    <w:rsid w:val="4EE104D6"/>
    <w:rsid w:val="4EEEEC92"/>
    <w:rsid w:val="4EF15F40"/>
    <w:rsid w:val="4EF2A19D"/>
    <w:rsid w:val="4EF5096F"/>
    <w:rsid w:val="4EFB3959"/>
    <w:rsid w:val="4EFEC263"/>
    <w:rsid w:val="4F045A89"/>
    <w:rsid w:val="4F05CF75"/>
    <w:rsid w:val="4F0DA175"/>
    <w:rsid w:val="4F10087C"/>
    <w:rsid w:val="4F12F653"/>
    <w:rsid w:val="4F19C225"/>
    <w:rsid w:val="4F1ED85C"/>
    <w:rsid w:val="4F28CA73"/>
    <w:rsid w:val="4F2E6D26"/>
    <w:rsid w:val="4F396810"/>
    <w:rsid w:val="4F430F19"/>
    <w:rsid w:val="4F44B621"/>
    <w:rsid w:val="4F46DB6A"/>
    <w:rsid w:val="4F47528A"/>
    <w:rsid w:val="4F4BC25F"/>
    <w:rsid w:val="4F54AC95"/>
    <w:rsid w:val="4F588C78"/>
    <w:rsid w:val="4F6ABA09"/>
    <w:rsid w:val="4F6EB2F2"/>
    <w:rsid w:val="4F6FDF4E"/>
    <w:rsid w:val="4F73E722"/>
    <w:rsid w:val="4F753A09"/>
    <w:rsid w:val="4F7DF699"/>
    <w:rsid w:val="4F809D0B"/>
    <w:rsid w:val="4F82044B"/>
    <w:rsid w:val="4F83470D"/>
    <w:rsid w:val="4F845564"/>
    <w:rsid w:val="4F918F73"/>
    <w:rsid w:val="4F92C4DE"/>
    <w:rsid w:val="4F93E788"/>
    <w:rsid w:val="4F97A7DB"/>
    <w:rsid w:val="4F99AC46"/>
    <w:rsid w:val="4F9BC97B"/>
    <w:rsid w:val="4F9E92EE"/>
    <w:rsid w:val="4F9F8434"/>
    <w:rsid w:val="4FA0F630"/>
    <w:rsid w:val="4FA437F1"/>
    <w:rsid w:val="4FAB7F8C"/>
    <w:rsid w:val="4FB5C808"/>
    <w:rsid w:val="4FB99B15"/>
    <w:rsid w:val="4FBC36D6"/>
    <w:rsid w:val="4FC2AA63"/>
    <w:rsid w:val="4FC6F1E3"/>
    <w:rsid w:val="4FCB3C7D"/>
    <w:rsid w:val="4FCE79AF"/>
    <w:rsid w:val="4FDF8D1D"/>
    <w:rsid w:val="4FE1F7C6"/>
    <w:rsid w:val="4FE51D55"/>
    <w:rsid w:val="4FE941BF"/>
    <w:rsid w:val="4FEFA582"/>
    <w:rsid w:val="4FFCCB02"/>
    <w:rsid w:val="4FFE1657"/>
    <w:rsid w:val="4FFE198C"/>
    <w:rsid w:val="50014415"/>
    <w:rsid w:val="5013BE7F"/>
    <w:rsid w:val="501FB4E0"/>
    <w:rsid w:val="502DD8A0"/>
    <w:rsid w:val="502E81CF"/>
    <w:rsid w:val="50321057"/>
    <w:rsid w:val="5039AB15"/>
    <w:rsid w:val="503D892C"/>
    <w:rsid w:val="503EE26E"/>
    <w:rsid w:val="5046B89F"/>
    <w:rsid w:val="5048742B"/>
    <w:rsid w:val="5049EDA7"/>
    <w:rsid w:val="504BC6F1"/>
    <w:rsid w:val="5054E78C"/>
    <w:rsid w:val="5056E965"/>
    <w:rsid w:val="505DB045"/>
    <w:rsid w:val="506507C7"/>
    <w:rsid w:val="5069975E"/>
    <w:rsid w:val="5072F0D6"/>
    <w:rsid w:val="507A6CEC"/>
    <w:rsid w:val="507D9366"/>
    <w:rsid w:val="508427EC"/>
    <w:rsid w:val="5089FAF5"/>
    <w:rsid w:val="508C3F9B"/>
    <w:rsid w:val="508CFA9D"/>
    <w:rsid w:val="508E9861"/>
    <w:rsid w:val="508EBF2D"/>
    <w:rsid w:val="508F5B93"/>
    <w:rsid w:val="5096FB5C"/>
    <w:rsid w:val="509A1EF8"/>
    <w:rsid w:val="509AF596"/>
    <w:rsid w:val="509CDA1D"/>
    <w:rsid w:val="509E7161"/>
    <w:rsid w:val="50A535FE"/>
    <w:rsid w:val="50B2CB5F"/>
    <w:rsid w:val="50B92B0F"/>
    <w:rsid w:val="50B9ABE8"/>
    <w:rsid w:val="50BB9D5B"/>
    <w:rsid w:val="50BE192A"/>
    <w:rsid w:val="50BEAC69"/>
    <w:rsid w:val="50C06DB6"/>
    <w:rsid w:val="50C07B2B"/>
    <w:rsid w:val="50C094D0"/>
    <w:rsid w:val="50C706FF"/>
    <w:rsid w:val="50CC0E6E"/>
    <w:rsid w:val="50D0B0EA"/>
    <w:rsid w:val="50D20023"/>
    <w:rsid w:val="50D366A8"/>
    <w:rsid w:val="50D3B7F0"/>
    <w:rsid w:val="50D557A5"/>
    <w:rsid w:val="50D55BE6"/>
    <w:rsid w:val="50D7EC0F"/>
    <w:rsid w:val="50DAB599"/>
    <w:rsid w:val="50DC5DC6"/>
    <w:rsid w:val="50DF5A4C"/>
    <w:rsid w:val="50E05448"/>
    <w:rsid w:val="50F367DE"/>
    <w:rsid w:val="51056DC4"/>
    <w:rsid w:val="510845D3"/>
    <w:rsid w:val="5109B764"/>
    <w:rsid w:val="5111CD13"/>
    <w:rsid w:val="5125A9B7"/>
    <w:rsid w:val="512ECA7A"/>
    <w:rsid w:val="512ED677"/>
    <w:rsid w:val="5132CD7D"/>
    <w:rsid w:val="513331E0"/>
    <w:rsid w:val="51365FAB"/>
    <w:rsid w:val="5142178A"/>
    <w:rsid w:val="514621F5"/>
    <w:rsid w:val="514DD89E"/>
    <w:rsid w:val="514E3C0C"/>
    <w:rsid w:val="515644D2"/>
    <w:rsid w:val="51706627"/>
    <w:rsid w:val="5173501B"/>
    <w:rsid w:val="5183D4CB"/>
    <w:rsid w:val="51948964"/>
    <w:rsid w:val="51973518"/>
    <w:rsid w:val="5197F8AC"/>
    <w:rsid w:val="519D4C43"/>
    <w:rsid w:val="519FA6EC"/>
    <w:rsid w:val="51A0EE57"/>
    <w:rsid w:val="51A2FA22"/>
    <w:rsid w:val="51A95BF0"/>
    <w:rsid w:val="51AB0030"/>
    <w:rsid w:val="51ABA54F"/>
    <w:rsid w:val="51B1FEE5"/>
    <w:rsid w:val="51B947D3"/>
    <w:rsid w:val="51BA1AD1"/>
    <w:rsid w:val="51BE43E6"/>
    <w:rsid w:val="51C34D13"/>
    <w:rsid w:val="51C51D6D"/>
    <w:rsid w:val="51C9E589"/>
    <w:rsid w:val="51D02F72"/>
    <w:rsid w:val="51D13641"/>
    <w:rsid w:val="51D1C672"/>
    <w:rsid w:val="51DDEA06"/>
    <w:rsid w:val="51F2FFA8"/>
    <w:rsid w:val="51F4F51B"/>
    <w:rsid w:val="51F5083B"/>
    <w:rsid w:val="51F8174C"/>
    <w:rsid w:val="51FB11EA"/>
    <w:rsid w:val="51FCAAF6"/>
    <w:rsid w:val="5209ABAE"/>
    <w:rsid w:val="520E6585"/>
    <w:rsid w:val="520F0D44"/>
    <w:rsid w:val="521788AA"/>
    <w:rsid w:val="5220EFA6"/>
    <w:rsid w:val="52284ABD"/>
    <w:rsid w:val="5229A8FB"/>
    <w:rsid w:val="5230A840"/>
    <w:rsid w:val="52314D1D"/>
    <w:rsid w:val="5234120C"/>
    <w:rsid w:val="52349491"/>
    <w:rsid w:val="523E827D"/>
    <w:rsid w:val="523F81E3"/>
    <w:rsid w:val="524D15ED"/>
    <w:rsid w:val="5254EF21"/>
    <w:rsid w:val="5255416B"/>
    <w:rsid w:val="5255E3AA"/>
    <w:rsid w:val="5259E98B"/>
    <w:rsid w:val="525A7BBE"/>
    <w:rsid w:val="525FEEA8"/>
    <w:rsid w:val="52620250"/>
    <w:rsid w:val="526AFB67"/>
    <w:rsid w:val="526C814B"/>
    <w:rsid w:val="5276C822"/>
    <w:rsid w:val="52827042"/>
    <w:rsid w:val="5282BBA5"/>
    <w:rsid w:val="52844737"/>
    <w:rsid w:val="528A2F6B"/>
    <w:rsid w:val="528C353F"/>
    <w:rsid w:val="528F1F28"/>
    <w:rsid w:val="529044ED"/>
    <w:rsid w:val="5290D810"/>
    <w:rsid w:val="52941F7C"/>
    <w:rsid w:val="5296CB73"/>
    <w:rsid w:val="52985803"/>
    <w:rsid w:val="529E7837"/>
    <w:rsid w:val="52A1BBD8"/>
    <w:rsid w:val="52AB5714"/>
    <w:rsid w:val="52ADF58A"/>
    <w:rsid w:val="52AED96E"/>
    <w:rsid w:val="52B015CB"/>
    <w:rsid w:val="52B46903"/>
    <w:rsid w:val="52C6883C"/>
    <w:rsid w:val="52C888E0"/>
    <w:rsid w:val="52C96E3A"/>
    <w:rsid w:val="52D814CF"/>
    <w:rsid w:val="52D8BF45"/>
    <w:rsid w:val="52DEA3E9"/>
    <w:rsid w:val="52DFF460"/>
    <w:rsid w:val="52EB8F99"/>
    <w:rsid w:val="52EBA239"/>
    <w:rsid w:val="52F53D2B"/>
    <w:rsid w:val="52F5513B"/>
    <w:rsid w:val="52FD38AC"/>
    <w:rsid w:val="52FDAE32"/>
    <w:rsid w:val="52FE61AC"/>
    <w:rsid w:val="53047580"/>
    <w:rsid w:val="530590A3"/>
    <w:rsid w:val="5305D190"/>
    <w:rsid w:val="530F486E"/>
    <w:rsid w:val="530FA9F1"/>
    <w:rsid w:val="5311E9A5"/>
    <w:rsid w:val="531FA52C"/>
    <w:rsid w:val="532A13C2"/>
    <w:rsid w:val="532AC363"/>
    <w:rsid w:val="532E5F88"/>
    <w:rsid w:val="532F1C7F"/>
    <w:rsid w:val="5330CCBC"/>
    <w:rsid w:val="533A4CAE"/>
    <w:rsid w:val="533BB88C"/>
    <w:rsid w:val="53413D63"/>
    <w:rsid w:val="53483A9E"/>
    <w:rsid w:val="534AF33C"/>
    <w:rsid w:val="534E3794"/>
    <w:rsid w:val="5353F8E0"/>
    <w:rsid w:val="5359F586"/>
    <w:rsid w:val="535B1D32"/>
    <w:rsid w:val="535C7C98"/>
    <w:rsid w:val="535E18D3"/>
    <w:rsid w:val="5361F2DB"/>
    <w:rsid w:val="5367A6A3"/>
    <w:rsid w:val="5367C052"/>
    <w:rsid w:val="536D96D3"/>
    <w:rsid w:val="5377F1A1"/>
    <w:rsid w:val="537DC25D"/>
    <w:rsid w:val="538174BA"/>
    <w:rsid w:val="538CA6A7"/>
    <w:rsid w:val="53960924"/>
    <w:rsid w:val="53973C01"/>
    <w:rsid w:val="5398E961"/>
    <w:rsid w:val="539C7B15"/>
    <w:rsid w:val="53A304C8"/>
    <w:rsid w:val="53A89715"/>
    <w:rsid w:val="53A8AA01"/>
    <w:rsid w:val="53AB2200"/>
    <w:rsid w:val="53AC888C"/>
    <w:rsid w:val="53B3ABC9"/>
    <w:rsid w:val="53B5AA10"/>
    <w:rsid w:val="53B66F06"/>
    <w:rsid w:val="53B70E2C"/>
    <w:rsid w:val="53B834DD"/>
    <w:rsid w:val="53BB7E48"/>
    <w:rsid w:val="53C532CD"/>
    <w:rsid w:val="53C68E2E"/>
    <w:rsid w:val="53C86C24"/>
    <w:rsid w:val="53CBF202"/>
    <w:rsid w:val="53D09AAA"/>
    <w:rsid w:val="53D42656"/>
    <w:rsid w:val="53D4DF70"/>
    <w:rsid w:val="53E0C8B6"/>
    <w:rsid w:val="53E9B492"/>
    <w:rsid w:val="53EC15DA"/>
    <w:rsid w:val="53F1788E"/>
    <w:rsid w:val="53F2497F"/>
    <w:rsid w:val="5403906F"/>
    <w:rsid w:val="54090BF3"/>
    <w:rsid w:val="5419193B"/>
    <w:rsid w:val="541963E0"/>
    <w:rsid w:val="54219EE9"/>
    <w:rsid w:val="54288DA3"/>
    <w:rsid w:val="542D9C03"/>
    <w:rsid w:val="542E9034"/>
    <w:rsid w:val="54350B20"/>
    <w:rsid w:val="5436AE6E"/>
    <w:rsid w:val="5437B6EB"/>
    <w:rsid w:val="543C48F2"/>
    <w:rsid w:val="54425C33"/>
    <w:rsid w:val="54437743"/>
    <w:rsid w:val="54442514"/>
    <w:rsid w:val="54541F5E"/>
    <w:rsid w:val="545BA26C"/>
    <w:rsid w:val="54655EB9"/>
    <w:rsid w:val="546626CF"/>
    <w:rsid w:val="5467DFC3"/>
    <w:rsid w:val="546D8C95"/>
    <w:rsid w:val="5480D652"/>
    <w:rsid w:val="5486A207"/>
    <w:rsid w:val="5489FBAF"/>
    <w:rsid w:val="548F108F"/>
    <w:rsid w:val="549804CC"/>
    <w:rsid w:val="549D6135"/>
    <w:rsid w:val="54A4F3AE"/>
    <w:rsid w:val="54B5E00B"/>
    <w:rsid w:val="54C15F6C"/>
    <w:rsid w:val="54C2514F"/>
    <w:rsid w:val="54C4611B"/>
    <w:rsid w:val="54C7672C"/>
    <w:rsid w:val="54C8F80C"/>
    <w:rsid w:val="54C90960"/>
    <w:rsid w:val="54CBC04A"/>
    <w:rsid w:val="54CC9D1D"/>
    <w:rsid w:val="54CDC538"/>
    <w:rsid w:val="54CEEBE1"/>
    <w:rsid w:val="54DAEC42"/>
    <w:rsid w:val="54DB08BC"/>
    <w:rsid w:val="54DB46AF"/>
    <w:rsid w:val="54DCFC86"/>
    <w:rsid w:val="54DE781B"/>
    <w:rsid w:val="54E2C3B4"/>
    <w:rsid w:val="54E9B28F"/>
    <w:rsid w:val="54F24658"/>
    <w:rsid w:val="54FAC468"/>
    <w:rsid w:val="54FC165E"/>
    <w:rsid w:val="54FD335C"/>
    <w:rsid w:val="54FFF7D9"/>
    <w:rsid w:val="550946F7"/>
    <w:rsid w:val="55096734"/>
    <w:rsid w:val="5509BD82"/>
    <w:rsid w:val="5510749E"/>
    <w:rsid w:val="55128662"/>
    <w:rsid w:val="551874BA"/>
    <w:rsid w:val="552560CD"/>
    <w:rsid w:val="552EECE3"/>
    <w:rsid w:val="5537470C"/>
    <w:rsid w:val="553D0AB1"/>
    <w:rsid w:val="5543491B"/>
    <w:rsid w:val="554584E1"/>
    <w:rsid w:val="554F7C2A"/>
    <w:rsid w:val="555066C4"/>
    <w:rsid w:val="55540B28"/>
    <w:rsid w:val="555C586A"/>
    <w:rsid w:val="556E6AB3"/>
    <w:rsid w:val="557B5A76"/>
    <w:rsid w:val="557DF79E"/>
    <w:rsid w:val="559080D5"/>
    <w:rsid w:val="55951C73"/>
    <w:rsid w:val="55A8E2E3"/>
    <w:rsid w:val="55AE40E5"/>
    <w:rsid w:val="55B3AD42"/>
    <w:rsid w:val="55B8F9D1"/>
    <w:rsid w:val="55BA3417"/>
    <w:rsid w:val="55BC1738"/>
    <w:rsid w:val="55BE6927"/>
    <w:rsid w:val="55C2C495"/>
    <w:rsid w:val="55C4540F"/>
    <w:rsid w:val="55D6D091"/>
    <w:rsid w:val="55DA781B"/>
    <w:rsid w:val="55DBD1B7"/>
    <w:rsid w:val="55E2A895"/>
    <w:rsid w:val="55E2D485"/>
    <w:rsid w:val="55E38621"/>
    <w:rsid w:val="55E3E808"/>
    <w:rsid w:val="55F59296"/>
    <w:rsid w:val="55F6013B"/>
    <w:rsid w:val="55F682C8"/>
    <w:rsid w:val="55F8315C"/>
    <w:rsid w:val="55F902E7"/>
    <w:rsid w:val="5602E256"/>
    <w:rsid w:val="56071974"/>
    <w:rsid w:val="56086A23"/>
    <w:rsid w:val="5609AF94"/>
    <w:rsid w:val="5618F611"/>
    <w:rsid w:val="561BD0A2"/>
    <w:rsid w:val="561DDB3D"/>
    <w:rsid w:val="562121ED"/>
    <w:rsid w:val="56269B2E"/>
    <w:rsid w:val="56377F80"/>
    <w:rsid w:val="563A817A"/>
    <w:rsid w:val="563E184A"/>
    <w:rsid w:val="56406F8F"/>
    <w:rsid w:val="564A78C6"/>
    <w:rsid w:val="564C9E50"/>
    <w:rsid w:val="564D78B3"/>
    <w:rsid w:val="564F49B6"/>
    <w:rsid w:val="564FB220"/>
    <w:rsid w:val="56518833"/>
    <w:rsid w:val="56553BBE"/>
    <w:rsid w:val="565E8BC9"/>
    <w:rsid w:val="56639D5D"/>
    <w:rsid w:val="56652F35"/>
    <w:rsid w:val="5665E3B4"/>
    <w:rsid w:val="5667BF35"/>
    <w:rsid w:val="56687EAA"/>
    <w:rsid w:val="56759AD8"/>
    <w:rsid w:val="56760F50"/>
    <w:rsid w:val="567CFABD"/>
    <w:rsid w:val="56830420"/>
    <w:rsid w:val="5687B6C0"/>
    <w:rsid w:val="568C8F29"/>
    <w:rsid w:val="568E957B"/>
    <w:rsid w:val="569323C3"/>
    <w:rsid w:val="5693DC81"/>
    <w:rsid w:val="569A8F01"/>
    <w:rsid w:val="569B0E81"/>
    <w:rsid w:val="569C0FD7"/>
    <w:rsid w:val="569FD57E"/>
    <w:rsid w:val="56A2FE56"/>
    <w:rsid w:val="56A4B5A9"/>
    <w:rsid w:val="56A51758"/>
    <w:rsid w:val="56AAF9B2"/>
    <w:rsid w:val="56B5909C"/>
    <w:rsid w:val="56BCE032"/>
    <w:rsid w:val="56C4C4C3"/>
    <w:rsid w:val="56C9FAC7"/>
    <w:rsid w:val="56CCA1DA"/>
    <w:rsid w:val="56D4496E"/>
    <w:rsid w:val="56D4E76B"/>
    <w:rsid w:val="56DD479D"/>
    <w:rsid w:val="56E01192"/>
    <w:rsid w:val="56E325FA"/>
    <w:rsid w:val="56F4C600"/>
    <w:rsid w:val="56FEE4D0"/>
    <w:rsid w:val="5702C8F2"/>
    <w:rsid w:val="57051682"/>
    <w:rsid w:val="5706A875"/>
    <w:rsid w:val="57080DF9"/>
    <w:rsid w:val="57086AB6"/>
    <w:rsid w:val="5710CDFD"/>
    <w:rsid w:val="5712AD9B"/>
    <w:rsid w:val="57151067"/>
    <w:rsid w:val="5718F0C0"/>
    <w:rsid w:val="571A03F4"/>
    <w:rsid w:val="57200FE3"/>
    <w:rsid w:val="57209266"/>
    <w:rsid w:val="57240C46"/>
    <w:rsid w:val="5725C6F4"/>
    <w:rsid w:val="572ADAFF"/>
    <w:rsid w:val="572CBC9F"/>
    <w:rsid w:val="57355B89"/>
    <w:rsid w:val="573CDDFE"/>
    <w:rsid w:val="573F152F"/>
    <w:rsid w:val="5740A63D"/>
    <w:rsid w:val="5754D234"/>
    <w:rsid w:val="575D13FD"/>
    <w:rsid w:val="5762F687"/>
    <w:rsid w:val="5762FF1D"/>
    <w:rsid w:val="576A247C"/>
    <w:rsid w:val="5771E95A"/>
    <w:rsid w:val="5774CBEE"/>
    <w:rsid w:val="577F2F58"/>
    <w:rsid w:val="5783081F"/>
    <w:rsid w:val="5785EFB5"/>
    <w:rsid w:val="57897645"/>
    <w:rsid w:val="578B45F7"/>
    <w:rsid w:val="578C401B"/>
    <w:rsid w:val="578DF5F0"/>
    <w:rsid w:val="578EC34B"/>
    <w:rsid w:val="578FF216"/>
    <w:rsid w:val="5795E470"/>
    <w:rsid w:val="57A02C7D"/>
    <w:rsid w:val="57A79EDE"/>
    <w:rsid w:val="57A9975D"/>
    <w:rsid w:val="57AB9447"/>
    <w:rsid w:val="57AD4420"/>
    <w:rsid w:val="57B09C9B"/>
    <w:rsid w:val="57B37C58"/>
    <w:rsid w:val="57B509E1"/>
    <w:rsid w:val="57B7A103"/>
    <w:rsid w:val="57C013C1"/>
    <w:rsid w:val="57C2B9A2"/>
    <w:rsid w:val="57C4A4D4"/>
    <w:rsid w:val="57C4C190"/>
    <w:rsid w:val="57C76354"/>
    <w:rsid w:val="57CB1194"/>
    <w:rsid w:val="57CDDD08"/>
    <w:rsid w:val="57CE9E1F"/>
    <w:rsid w:val="57CEA730"/>
    <w:rsid w:val="57CFCC73"/>
    <w:rsid w:val="57D143EA"/>
    <w:rsid w:val="57D57CDC"/>
    <w:rsid w:val="57D6F3CD"/>
    <w:rsid w:val="57DF9122"/>
    <w:rsid w:val="57E0E0F6"/>
    <w:rsid w:val="57E24997"/>
    <w:rsid w:val="57E9BD6B"/>
    <w:rsid w:val="57EB2E95"/>
    <w:rsid w:val="57ECDB04"/>
    <w:rsid w:val="57F69A98"/>
    <w:rsid w:val="57FF23B8"/>
    <w:rsid w:val="5800FF96"/>
    <w:rsid w:val="5806D052"/>
    <w:rsid w:val="580CCBB4"/>
    <w:rsid w:val="58105D44"/>
    <w:rsid w:val="5814F08F"/>
    <w:rsid w:val="5816BA47"/>
    <w:rsid w:val="581CA1E2"/>
    <w:rsid w:val="581DAD34"/>
    <w:rsid w:val="581FFD5E"/>
    <w:rsid w:val="583488E6"/>
    <w:rsid w:val="58354A0E"/>
    <w:rsid w:val="58377E5F"/>
    <w:rsid w:val="583CBBC1"/>
    <w:rsid w:val="584049F3"/>
    <w:rsid w:val="584259BD"/>
    <w:rsid w:val="58508C04"/>
    <w:rsid w:val="5860D3CD"/>
    <w:rsid w:val="58634E83"/>
    <w:rsid w:val="586E7625"/>
    <w:rsid w:val="587F6DDE"/>
    <w:rsid w:val="5882A2F9"/>
    <w:rsid w:val="5882CCC3"/>
    <w:rsid w:val="588359FA"/>
    <w:rsid w:val="588A4E13"/>
    <w:rsid w:val="588BE48B"/>
    <w:rsid w:val="58905A3F"/>
    <w:rsid w:val="5893AA37"/>
    <w:rsid w:val="589CAEE0"/>
    <w:rsid w:val="589E9953"/>
    <w:rsid w:val="58A89D7F"/>
    <w:rsid w:val="58AC9E5E"/>
    <w:rsid w:val="58AEBC1B"/>
    <w:rsid w:val="58B87B4E"/>
    <w:rsid w:val="58BBA61E"/>
    <w:rsid w:val="58BF0FF2"/>
    <w:rsid w:val="58C1082B"/>
    <w:rsid w:val="58CAE826"/>
    <w:rsid w:val="58D0B1A1"/>
    <w:rsid w:val="58D51121"/>
    <w:rsid w:val="58D63CE4"/>
    <w:rsid w:val="58DA17E3"/>
    <w:rsid w:val="58E42021"/>
    <w:rsid w:val="58ECE7B8"/>
    <w:rsid w:val="58EE1C63"/>
    <w:rsid w:val="58F7CDA1"/>
    <w:rsid w:val="58FF258B"/>
    <w:rsid w:val="590012DC"/>
    <w:rsid w:val="5900BB07"/>
    <w:rsid w:val="59023CFC"/>
    <w:rsid w:val="5907E6F1"/>
    <w:rsid w:val="5908B1B0"/>
    <w:rsid w:val="5909EFAE"/>
    <w:rsid w:val="590C23C5"/>
    <w:rsid w:val="590F023B"/>
    <w:rsid w:val="590F2CFE"/>
    <w:rsid w:val="5910151F"/>
    <w:rsid w:val="5925479B"/>
    <w:rsid w:val="5929686C"/>
    <w:rsid w:val="59392200"/>
    <w:rsid w:val="5943D433"/>
    <w:rsid w:val="5944E154"/>
    <w:rsid w:val="59453F11"/>
    <w:rsid w:val="594795C0"/>
    <w:rsid w:val="595040F0"/>
    <w:rsid w:val="5953A393"/>
    <w:rsid w:val="5955F7E5"/>
    <w:rsid w:val="5957B8A3"/>
    <w:rsid w:val="5957CE6D"/>
    <w:rsid w:val="5959C86A"/>
    <w:rsid w:val="595C3356"/>
    <w:rsid w:val="59641F0B"/>
    <w:rsid w:val="59642B0E"/>
    <w:rsid w:val="596B4AE5"/>
    <w:rsid w:val="596DCAAF"/>
    <w:rsid w:val="5970760B"/>
    <w:rsid w:val="59838C16"/>
    <w:rsid w:val="598630D6"/>
    <w:rsid w:val="598974D5"/>
    <w:rsid w:val="598B5C6B"/>
    <w:rsid w:val="5990454A"/>
    <w:rsid w:val="5996BF01"/>
    <w:rsid w:val="5996C688"/>
    <w:rsid w:val="599CCFF7"/>
    <w:rsid w:val="59A75240"/>
    <w:rsid w:val="59AE74B7"/>
    <w:rsid w:val="59B5AD6E"/>
    <w:rsid w:val="59C00AE3"/>
    <w:rsid w:val="59C6AB86"/>
    <w:rsid w:val="59C7AEF0"/>
    <w:rsid w:val="59C83DFE"/>
    <w:rsid w:val="59D55C04"/>
    <w:rsid w:val="59D77BE7"/>
    <w:rsid w:val="59D9535F"/>
    <w:rsid w:val="59DD8D12"/>
    <w:rsid w:val="59E3E351"/>
    <w:rsid w:val="59F03DC3"/>
    <w:rsid w:val="59F90B39"/>
    <w:rsid w:val="59FA26FE"/>
    <w:rsid w:val="59FEAB04"/>
    <w:rsid w:val="5A04429C"/>
    <w:rsid w:val="5A153398"/>
    <w:rsid w:val="5A15F5ED"/>
    <w:rsid w:val="5A199FB7"/>
    <w:rsid w:val="5A1B1A73"/>
    <w:rsid w:val="5A1FE23C"/>
    <w:rsid w:val="5A30057A"/>
    <w:rsid w:val="5A30F78C"/>
    <w:rsid w:val="5A313CB8"/>
    <w:rsid w:val="5A3C37FC"/>
    <w:rsid w:val="5A4541F7"/>
    <w:rsid w:val="5A45725F"/>
    <w:rsid w:val="5A475F1A"/>
    <w:rsid w:val="5A48B5B7"/>
    <w:rsid w:val="5A508A90"/>
    <w:rsid w:val="5A51F600"/>
    <w:rsid w:val="5A53FDBF"/>
    <w:rsid w:val="5A5AADC7"/>
    <w:rsid w:val="5A5AE053"/>
    <w:rsid w:val="5A5EE9DE"/>
    <w:rsid w:val="5A62D657"/>
    <w:rsid w:val="5A635C89"/>
    <w:rsid w:val="5A66D180"/>
    <w:rsid w:val="5A66EFA0"/>
    <w:rsid w:val="5A6C573C"/>
    <w:rsid w:val="5A6D0431"/>
    <w:rsid w:val="5A70E182"/>
    <w:rsid w:val="5A725695"/>
    <w:rsid w:val="5A73326A"/>
    <w:rsid w:val="5A74B085"/>
    <w:rsid w:val="5A802B86"/>
    <w:rsid w:val="5A82A0B1"/>
    <w:rsid w:val="5A84DCCD"/>
    <w:rsid w:val="5A87C1C0"/>
    <w:rsid w:val="5A87DA0E"/>
    <w:rsid w:val="5A91DA4A"/>
    <w:rsid w:val="5A952DEE"/>
    <w:rsid w:val="5A96AE72"/>
    <w:rsid w:val="5A97D8A6"/>
    <w:rsid w:val="5AA2138B"/>
    <w:rsid w:val="5AA55F1B"/>
    <w:rsid w:val="5AB60B29"/>
    <w:rsid w:val="5AB9BEB9"/>
    <w:rsid w:val="5AC3317C"/>
    <w:rsid w:val="5AC41414"/>
    <w:rsid w:val="5AC7F628"/>
    <w:rsid w:val="5ACC3B3D"/>
    <w:rsid w:val="5ACC740A"/>
    <w:rsid w:val="5ACDDC5D"/>
    <w:rsid w:val="5AD72375"/>
    <w:rsid w:val="5ADA45A7"/>
    <w:rsid w:val="5ADBFB53"/>
    <w:rsid w:val="5ADCF75C"/>
    <w:rsid w:val="5ADEBEC1"/>
    <w:rsid w:val="5ADFEAA0"/>
    <w:rsid w:val="5AE2ED93"/>
    <w:rsid w:val="5AF1C846"/>
    <w:rsid w:val="5AF35BDD"/>
    <w:rsid w:val="5AF6D615"/>
    <w:rsid w:val="5AF86E8A"/>
    <w:rsid w:val="5B0C3127"/>
    <w:rsid w:val="5B0E13D8"/>
    <w:rsid w:val="5B13C7B7"/>
    <w:rsid w:val="5B17D6DB"/>
    <w:rsid w:val="5B1A0D29"/>
    <w:rsid w:val="5B215EE0"/>
    <w:rsid w:val="5B2D3980"/>
    <w:rsid w:val="5B365050"/>
    <w:rsid w:val="5B3683F6"/>
    <w:rsid w:val="5B47E2AB"/>
    <w:rsid w:val="5B51D84C"/>
    <w:rsid w:val="5B546303"/>
    <w:rsid w:val="5B554DF6"/>
    <w:rsid w:val="5B58322E"/>
    <w:rsid w:val="5B586764"/>
    <w:rsid w:val="5B598510"/>
    <w:rsid w:val="5B5C0306"/>
    <w:rsid w:val="5B627192"/>
    <w:rsid w:val="5B64B1D5"/>
    <w:rsid w:val="5B66548E"/>
    <w:rsid w:val="5B67C066"/>
    <w:rsid w:val="5B6BBE37"/>
    <w:rsid w:val="5B7231B4"/>
    <w:rsid w:val="5B72594D"/>
    <w:rsid w:val="5B78A8B8"/>
    <w:rsid w:val="5B8369E1"/>
    <w:rsid w:val="5B9ABC4F"/>
    <w:rsid w:val="5B9CDB47"/>
    <w:rsid w:val="5BA4FEFE"/>
    <w:rsid w:val="5BA58BB2"/>
    <w:rsid w:val="5BA8588E"/>
    <w:rsid w:val="5BAA2598"/>
    <w:rsid w:val="5BB0C6EC"/>
    <w:rsid w:val="5BB5C4F0"/>
    <w:rsid w:val="5BB8CC89"/>
    <w:rsid w:val="5BB90F68"/>
    <w:rsid w:val="5BC19C66"/>
    <w:rsid w:val="5BC27A8F"/>
    <w:rsid w:val="5BC2F086"/>
    <w:rsid w:val="5BC4F493"/>
    <w:rsid w:val="5BCAE98A"/>
    <w:rsid w:val="5BD52063"/>
    <w:rsid w:val="5BDC7557"/>
    <w:rsid w:val="5BDF31EA"/>
    <w:rsid w:val="5BE11B5C"/>
    <w:rsid w:val="5BE26EFC"/>
    <w:rsid w:val="5BEA2780"/>
    <w:rsid w:val="5BF1F492"/>
    <w:rsid w:val="5BF30FCE"/>
    <w:rsid w:val="5BF500FF"/>
    <w:rsid w:val="5BF837E5"/>
    <w:rsid w:val="5BF88935"/>
    <w:rsid w:val="5BF99908"/>
    <w:rsid w:val="5BFEC4D3"/>
    <w:rsid w:val="5BFFE416"/>
    <w:rsid w:val="5C000E68"/>
    <w:rsid w:val="5C045DF7"/>
    <w:rsid w:val="5C077357"/>
    <w:rsid w:val="5C0803CE"/>
    <w:rsid w:val="5C097BDA"/>
    <w:rsid w:val="5C0BD387"/>
    <w:rsid w:val="5C14A936"/>
    <w:rsid w:val="5C1832A9"/>
    <w:rsid w:val="5C1DFA1D"/>
    <w:rsid w:val="5C1EDEAB"/>
    <w:rsid w:val="5C1F8532"/>
    <w:rsid w:val="5C23AA6F"/>
    <w:rsid w:val="5C2E424A"/>
    <w:rsid w:val="5C3B2929"/>
    <w:rsid w:val="5C3C40CD"/>
    <w:rsid w:val="5C4136ED"/>
    <w:rsid w:val="5C44848A"/>
    <w:rsid w:val="5C454295"/>
    <w:rsid w:val="5C4D372F"/>
    <w:rsid w:val="5C4FBCE5"/>
    <w:rsid w:val="5C5059B6"/>
    <w:rsid w:val="5C549EC5"/>
    <w:rsid w:val="5C559114"/>
    <w:rsid w:val="5C671CC2"/>
    <w:rsid w:val="5C6884B8"/>
    <w:rsid w:val="5C6BB780"/>
    <w:rsid w:val="5C733556"/>
    <w:rsid w:val="5C748163"/>
    <w:rsid w:val="5C787992"/>
    <w:rsid w:val="5C78C081"/>
    <w:rsid w:val="5C791183"/>
    <w:rsid w:val="5C7960C7"/>
    <w:rsid w:val="5C804559"/>
    <w:rsid w:val="5C82B370"/>
    <w:rsid w:val="5C8673DD"/>
    <w:rsid w:val="5C8DC25C"/>
    <w:rsid w:val="5C90EF1E"/>
    <w:rsid w:val="5C98378C"/>
    <w:rsid w:val="5CAED71B"/>
    <w:rsid w:val="5CB2A7D2"/>
    <w:rsid w:val="5CB97249"/>
    <w:rsid w:val="5CBAF6A7"/>
    <w:rsid w:val="5CC023B3"/>
    <w:rsid w:val="5CC8FB28"/>
    <w:rsid w:val="5CC9954F"/>
    <w:rsid w:val="5CC9F24F"/>
    <w:rsid w:val="5CCB0B49"/>
    <w:rsid w:val="5CCCC6AD"/>
    <w:rsid w:val="5CCDBA9D"/>
    <w:rsid w:val="5CCFA3C2"/>
    <w:rsid w:val="5CD3D58F"/>
    <w:rsid w:val="5CDCABC2"/>
    <w:rsid w:val="5CE2BFEB"/>
    <w:rsid w:val="5CE7AE92"/>
    <w:rsid w:val="5CEF1FB8"/>
    <w:rsid w:val="5CF0BB3C"/>
    <w:rsid w:val="5CF8E9C5"/>
    <w:rsid w:val="5D04B9EF"/>
    <w:rsid w:val="5D1A3E5B"/>
    <w:rsid w:val="5D1B8A8D"/>
    <w:rsid w:val="5D2A7370"/>
    <w:rsid w:val="5D2C5116"/>
    <w:rsid w:val="5D2C6104"/>
    <w:rsid w:val="5D32CC70"/>
    <w:rsid w:val="5D3ADFD2"/>
    <w:rsid w:val="5D44534E"/>
    <w:rsid w:val="5D459938"/>
    <w:rsid w:val="5D4EBB75"/>
    <w:rsid w:val="5D50B09E"/>
    <w:rsid w:val="5D52B531"/>
    <w:rsid w:val="5D541750"/>
    <w:rsid w:val="5D54788D"/>
    <w:rsid w:val="5D563264"/>
    <w:rsid w:val="5D5DC828"/>
    <w:rsid w:val="5D60CE6C"/>
    <w:rsid w:val="5D639C88"/>
    <w:rsid w:val="5D680EB5"/>
    <w:rsid w:val="5D68E27A"/>
    <w:rsid w:val="5D7EA36B"/>
    <w:rsid w:val="5D7F2196"/>
    <w:rsid w:val="5D83A884"/>
    <w:rsid w:val="5D88170E"/>
    <w:rsid w:val="5D92A214"/>
    <w:rsid w:val="5D94E910"/>
    <w:rsid w:val="5D98014E"/>
    <w:rsid w:val="5D997FF1"/>
    <w:rsid w:val="5DB5950C"/>
    <w:rsid w:val="5DB79A9F"/>
    <w:rsid w:val="5DBA54D8"/>
    <w:rsid w:val="5DBB05DE"/>
    <w:rsid w:val="5DBB0AEE"/>
    <w:rsid w:val="5DC02B6B"/>
    <w:rsid w:val="5DC46BE0"/>
    <w:rsid w:val="5DCD09D9"/>
    <w:rsid w:val="5DD2534D"/>
    <w:rsid w:val="5DD5711F"/>
    <w:rsid w:val="5DD6F0E9"/>
    <w:rsid w:val="5DDCDD87"/>
    <w:rsid w:val="5DE2DFD7"/>
    <w:rsid w:val="5DE3F712"/>
    <w:rsid w:val="5DE6A914"/>
    <w:rsid w:val="5DF4FFAC"/>
    <w:rsid w:val="5DF9CAA2"/>
    <w:rsid w:val="5DFD713D"/>
    <w:rsid w:val="5E039956"/>
    <w:rsid w:val="5E05B692"/>
    <w:rsid w:val="5E05F9B2"/>
    <w:rsid w:val="5E0819CB"/>
    <w:rsid w:val="5E1296DA"/>
    <w:rsid w:val="5E1A108D"/>
    <w:rsid w:val="5E1D71D7"/>
    <w:rsid w:val="5E1F495E"/>
    <w:rsid w:val="5E2177C4"/>
    <w:rsid w:val="5E2435A5"/>
    <w:rsid w:val="5E24E55E"/>
    <w:rsid w:val="5E291D82"/>
    <w:rsid w:val="5E2CCB57"/>
    <w:rsid w:val="5E2FD759"/>
    <w:rsid w:val="5E360151"/>
    <w:rsid w:val="5E3B55F1"/>
    <w:rsid w:val="5E3CE81D"/>
    <w:rsid w:val="5E3F8999"/>
    <w:rsid w:val="5E4399F4"/>
    <w:rsid w:val="5E4453EE"/>
    <w:rsid w:val="5E447510"/>
    <w:rsid w:val="5E48719B"/>
    <w:rsid w:val="5E56D742"/>
    <w:rsid w:val="5E5A8542"/>
    <w:rsid w:val="5E5A9551"/>
    <w:rsid w:val="5E5BE175"/>
    <w:rsid w:val="5E5EC0DA"/>
    <w:rsid w:val="5E6039A5"/>
    <w:rsid w:val="5E612A7B"/>
    <w:rsid w:val="5E6541FA"/>
    <w:rsid w:val="5E6A97AF"/>
    <w:rsid w:val="5E6C4968"/>
    <w:rsid w:val="5E6E5178"/>
    <w:rsid w:val="5E800850"/>
    <w:rsid w:val="5E8A180A"/>
    <w:rsid w:val="5EA128C9"/>
    <w:rsid w:val="5EA1B7FA"/>
    <w:rsid w:val="5EAF9DC8"/>
    <w:rsid w:val="5EB514A2"/>
    <w:rsid w:val="5EB7E6C7"/>
    <w:rsid w:val="5EC11BF3"/>
    <w:rsid w:val="5EC46976"/>
    <w:rsid w:val="5EC8C6FE"/>
    <w:rsid w:val="5EC9268E"/>
    <w:rsid w:val="5ECB17B0"/>
    <w:rsid w:val="5ED06344"/>
    <w:rsid w:val="5ED27382"/>
    <w:rsid w:val="5ED2A176"/>
    <w:rsid w:val="5ED5D0CA"/>
    <w:rsid w:val="5ED8F997"/>
    <w:rsid w:val="5EE25CC3"/>
    <w:rsid w:val="5EEA233B"/>
    <w:rsid w:val="5EEBBCFE"/>
    <w:rsid w:val="5EF1263B"/>
    <w:rsid w:val="5EF35EB3"/>
    <w:rsid w:val="5EFB80AE"/>
    <w:rsid w:val="5F08BACF"/>
    <w:rsid w:val="5F0DCFEE"/>
    <w:rsid w:val="5F1227F0"/>
    <w:rsid w:val="5F13919D"/>
    <w:rsid w:val="5F1E3D03"/>
    <w:rsid w:val="5F253198"/>
    <w:rsid w:val="5F2AD0BF"/>
    <w:rsid w:val="5F336A4E"/>
    <w:rsid w:val="5F37EF38"/>
    <w:rsid w:val="5F3BF20F"/>
    <w:rsid w:val="5F49607C"/>
    <w:rsid w:val="5F49E10A"/>
    <w:rsid w:val="5F4D2701"/>
    <w:rsid w:val="5F576469"/>
    <w:rsid w:val="5F5AF122"/>
    <w:rsid w:val="5F5B1B8C"/>
    <w:rsid w:val="5F5F0BCD"/>
    <w:rsid w:val="5F6BDF3F"/>
    <w:rsid w:val="5F7BDB37"/>
    <w:rsid w:val="5F886253"/>
    <w:rsid w:val="5F8891F0"/>
    <w:rsid w:val="5F8D69E1"/>
    <w:rsid w:val="5F94D35D"/>
    <w:rsid w:val="5F9AF87A"/>
    <w:rsid w:val="5FA0BC75"/>
    <w:rsid w:val="5FA0F655"/>
    <w:rsid w:val="5FA41360"/>
    <w:rsid w:val="5FA4D766"/>
    <w:rsid w:val="5FAE7D16"/>
    <w:rsid w:val="5FB173D1"/>
    <w:rsid w:val="5FBB9A28"/>
    <w:rsid w:val="5FC37D4D"/>
    <w:rsid w:val="5FCE2C70"/>
    <w:rsid w:val="5FCFE9A6"/>
    <w:rsid w:val="5FD1EC8C"/>
    <w:rsid w:val="5FD40861"/>
    <w:rsid w:val="5FD75382"/>
    <w:rsid w:val="5FE0D3CD"/>
    <w:rsid w:val="5FEB6C3A"/>
    <w:rsid w:val="5FFAE906"/>
    <w:rsid w:val="5FFF7D25"/>
    <w:rsid w:val="60061EE9"/>
    <w:rsid w:val="60062F33"/>
    <w:rsid w:val="6006359B"/>
    <w:rsid w:val="60068080"/>
    <w:rsid w:val="600F0148"/>
    <w:rsid w:val="6014302B"/>
    <w:rsid w:val="601D6075"/>
    <w:rsid w:val="6026A0CB"/>
    <w:rsid w:val="602ABAB9"/>
    <w:rsid w:val="6035DA93"/>
    <w:rsid w:val="603EC3D9"/>
    <w:rsid w:val="60448961"/>
    <w:rsid w:val="604978F9"/>
    <w:rsid w:val="604C5D0F"/>
    <w:rsid w:val="60538E9B"/>
    <w:rsid w:val="605D290B"/>
    <w:rsid w:val="6065492E"/>
    <w:rsid w:val="606947D0"/>
    <w:rsid w:val="606A6D32"/>
    <w:rsid w:val="6070773A"/>
    <w:rsid w:val="607175B7"/>
    <w:rsid w:val="6075C29B"/>
    <w:rsid w:val="607BC9B1"/>
    <w:rsid w:val="607BD664"/>
    <w:rsid w:val="609A9A70"/>
    <w:rsid w:val="60A7EB58"/>
    <w:rsid w:val="60A9D220"/>
    <w:rsid w:val="60ABC1AD"/>
    <w:rsid w:val="60AD2D67"/>
    <w:rsid w:val="60BEE899"/>
    <w:rsid w:val="60C009E3"/>
    <w:rsid w:val="60C0F6DB"/>
    <w:rsid w:val="60C213DA"/>
    <w:rsid w:val="60C5A3C5"/>
    <w:rsid w:val="60C8CF6C"/>
    <w:rsid w:val="60CA38C5"/>
    <w:rsid w:val="60CA6D18"/>
    <w:rsid w:val="60CF0EEF"/>
    <w:rsid w:val="60D076C1"/>
    <w:rsid w:val="60D6E623"/>
    <w:rsid w:val="60DF7CA8"/>
    <w:rsid w:val="60E5F78C"/>
    <w:rsid w:val="60EF4743"/>
    <w:rsid w:val="60F5A8BE"/>
    <w:rsid w:val="6105DD45"/>
    <w:rsid w:val="6112515D"/>
    <w:rsid w:val="6117240F"/>
    <w:rsid w:val="611725E3"/>
    <w:rsid w:val="611DA959"/>
    <w:rsid w:val="61205F9A"/>
    <w:rsid w:val="6128F7C9"/>
    <w:rsid w:val="612FD1DD"/>
    <w:rsid w:val="6136C1ED"/>
    <w:rsid w:val="61391A30"/>
    <w:rsid w:val="613B2F3C"/>
    <w:rsid w:val="613FBA8D"/>
    <w:rsid w:val="614245F9"/>
    <w:rsid w:val="6142E18E"/>
    <w:rsid w:val="6158E230"/>
    <w:rsid w:val="61663E74"/>
    <w:rsid w:val="61689C97"/>
    <w:rsid w:val="616E5319"/>
    <w:rsid w:val="617237E5"/>
    <w:rsid w:val="617FA00D"/>
    <w:rsid w:val="6188101A"/>
    <w:rsid w:val="6189E971"/>
    <w:rsid w:val="618B70A6"/>
    <w:rsid w:val="618EE893"/>
    <w:rsid w:val="6193D6A6"/>
    <w:rsid w:val="61950D33"/>
    <w:rsid w:val="61A24AC2"/>
    <w:rsid w:val="61A2DD22"/>
    <w:rsid w:val="61A3B4D7"/>
    <w:rsid w:val="61A66ABB"/>
    <w:rsid w:val="61AB8DD7"/>
    <w:rsid w:val="61B06312"/>
    <w:rsid w:val="61B8A752"/>
    <w:rsid w:val="61B9869C"/>
    <w:rsid w:val="61BEB5F8"/>
    <w:rsid w:val="61C18614"/>
    <w:rsid w:val="61C4E0BC"/>
    <w:rsid w:val="61C73148"/>
    <w:rsid w:val="61D018AC"/>
    <w:rsid w:val="61D46C32"/>
    <w:rsid w:val="61D78D06"/>
    <w:rsid w:val="61DD47B7"/>
    <w:rsid w:val="61E70292"/>
    <w:rsid w:val="61E721E7"/>
    <w:rsid w:val="61E9CD24"/>
    <w:rsid w:val="61EA1588"/>
    <w:rsid w:val="61EABB78"/>
    <w:rsid w:val="61EB1E23"/>
    <w:rsid w:val="61F6143A"/>
    <w:rsid w:val="61FCDE75"/>
    <w:rsid w:val="61FCFE30"/>
    <w:rsid w:val="620BD5DE"/>
    <w:rsid w:val="620D4618"/>
    <w:rsid w:val="621139E0"/>
    <w:rsid w:val="6213ECE2"/>
    <w:rsid w:val="62184A46"/>
    <w:rsid w:val="621B964F"/>
    <w:rsid w:val="622421C1"/>
    <w:rsid w:val="622802A0"/>
    <w:rsid w:val="6229F3A6"/>
    <w:rsid w:val="6231D713"/>
    <w:rsid w:val="624846F3"/>
    <w:rsid w:val="6248C631"/>
    <w:rsid w:val="624B7034"/>
    <w:rsid w:val="624B79DC"/>
    <w:rsid w:val="624E7760"/>
    <w:rsid w:val="624F8FCE"/>
    <w:rsid w:val="6254CF56"/>
    <w:rsid w:val="625E8BCD"/>
    <w:rsid w:val="626057F7"/>
    <w:rsid w:val="6261939A"/>
    <w:rsid w:val="62697170"/>
    <w:rsid w:val="6269F965"/>
    <w:rsid w:val="626CFEB3"/>
    <w:rsid w:val="6273B97D"/>
    <w:rsid w:val="627657F6"/>
    <w:rsid w:val="6279069B"/>
    <w:rsid w:val="62866027"/>
    <w:rsid w:val="62885C35"/>
    <w:rsid w:val="628BEDC6"/>
    <w:rsid w:val="62943C27"/>
    <w:rsid w:val="62990B58"/>
    <w:rsid w:val="629FECAE"/>
    <w:rsid w:val="62A2F99C"/>
    <w:rsid w:val="62A622D2"/>
    <w:rsid w:val="62AC7CD1"/>
    <w:rsid w:val="62AE3F17"/>
    <w:rsid w:val="62BC2FFB"/>
    <w:rsid w:val="62BE9DDF"/>
    <w:rsid w:val="62CE985A"/>
    <w:rsid w:val="62CFABFE"/>
    <w:rsid w:val="62D1F0E4"/>
    <w:rsid w:val="62DA4D19"/>
    <w:rsid w:val="62DCD58B"/>
    <w:rsid w:val="62DD0DB5"/>
    <w:rsid w:val="62E3A9AD"/>
    <w:rsid w:val="62E7E988"/>
    <w:rsid w:val="62EB5C13"/>
    <w:rsid w:val="62F17B8D"/>
    <w:rsid w:val="62F2BA81"/>
    <w:rsid w:val="62F49A25"/>
    <w:rsid w:val="62FBEBA3"/>
    <w:rsid w:val="62FCDA2B"/>
    <w:rsid w:val="62FD59E7"/>
    <w:rsid w:val="6302A094"/>
    <w:rsid w:val="6306472E"/>
    <w:rsid w:val="631ECF71"/>
    <w:rsid w:val="6323E674"/>
    <w:rsid w:val="63283392"/>
    <w:rsid w:val="632A9283"/>
    <w:rsid w:val="632BA787"/>
    <w:rsid w:val="632DA12A"/>
    <w:rsid w:val="6331C475"/>
    <w:rsid w:val="6332562D"/>
    <w:rsid w:val="63330EDE"/>
    <w:rsid w:val="63341CA4"/>
    <w:rsid w:val="63393E8C"/>
    <w:rsid w:val="6339F9F4"/>
    <w:rsid w:val="633A63EE"/>
    <w:rsid w:val="634115A2"/>
    <w:rsid w:val="6342142C"/>
    <w:rsid w:val="634B9D1F"/>
    <w:rsid w:val="6351CEA3"/>
    <w:rsid w:val="63548A40"/>
    <w:rsid w:val="6356B078"/>
    <w:rsid w:val="635FF45A"/>
    <w:rsid w:val="63609AE5"/>
    <w:rsid w:val="636107AD"/>
    <w:rsid w:val="63683DD9"/>
    <w:rsid w:val="636ADB69"/>
    <w:rsid w:val="636E5886"/>
    <w:rsid w:val="63768720"/>
    <w:rsid w:val="638043B6"/>
    <w:rsid w:val="6383B98E"/>
    <w:rsid w:val="63863229"/>
    <w:rsid w:val="6387A5ED"/>
    <w:rsid w:val="63916E6F"/>
    <w:rsid w:val="63929590"/>
    <w:rsid w:val="63949F3B"/>
    <w:rsid w:val="639884E6"/>
    <w:rsid w:val="639B0774"/>
    <w:rsid w:val="639FEC73"/>
    <w:rsid w:val="63A08F92"/>
    <w:rsid w:val="63AAA2EE"/>
    <w:rsid w:val="63B02C3A"/>
    <w:rsid w:val="63B2C15C"/>
    <w:rsid w:val="63B33BEA"/>
    <w:rsid w:val="63B3E14F"/>
    <w:rsid w:val="63B96EF3"/>
    <w:rsid w:val="63BB1C2D"/>
    <w:rsid w:val="63C0167B"/>
    <w:rsid w:val="63C2E394"/>
    <w:rsid w:val="63C59C23"/>
    <w:rsid w:val="63C8CDD6"/>
    <w:rsid w:val="63C9C2C7"/>
    <w:rsid w:val="63CA454D"/>
    <w:rsid w:val="63CD0C93"/>
    <w:rsid w:val="63CDE8A8"/>
    <w:rsid w:val="63D379DD"/>
    <w:rsid w:val="63DB562C"/>
    <w:rsid w:val="63DEEAE8"/>
    <w:rsid w:val="63E61980"/>
    <w:rsid w:val="63E9E31A"/>
    <w:rsid w:val="63ED2E77"/>
    <w:rsid w:val="63ED359E"/>
    <w:rsid w:val="63F2F2E1"/>
    <w:rsid w:val="63FB5E9A"/>
    <w:rsid w:val="640A1C31"/>
    <w:rsid w:val="640C8D02"/>
    <w:rsid w:val="6412282D"/>
    <w:rsid w:val="641B7B04"/>
    <w:rsid w:val="641D1305"/>
    <w:rsid w:val="64278250"/>
    <w:rsid w:val="6433CD16"/>
    <w:rsid w:val="643B04A8"/>
    <w:rsid w:val="643F3534"/>
    <w:rsid w:val="6447C11D"/>
    <w:rsid w:val="6448E91E"/>
    <w:rsid w:val="644BC468"/>
    <w:rsid w:val="6450A90B"/>
    <w:rsid w:val="6450D8EC"/>
    <w:rsid w:val="6452B36F"/>
    <w:rsid w:val="64653271"/>
    <w:rsid w:val="646B7741"/>
    <w:rsid w:val="646E6893"/>
    <w:rsid w:val="64755A4E"/>
    <w:rsid w:val="64785C96"/>
    <w:rsid w:val="64852247"/>
    <w:rsid w:val="6485D0AF"/>
    <w:rsid w:val="64880D23"/>
    <w:rsid w:val="648F14F2"/>
    <w:rsid w:val="649884FC"/>
    <w:rsid w:val="649A8114"/>
    <w:rsid w:val="649C99D2"/>
    <w:rsid w:val="64A031AA"/>
    <w:rsid w:val="64AB5BD1"/>
    <w:rsid w:val="64AFA0AB"/>
    <w:rsid w:val="64B2687D"/>
    <w:rsid w:val="64B2DB78"/>
    <w:rsid w:val="64B953F7"/>
    <w:rsid w:val="64BA1DFA"/>
    <w:rsid w:val="64BAAC29"/>
    <w:rsid w:val="64BE1527"/>
    <w:rsid w:val="64C6A598"/>
    <w:rsid w:val="64C85D43"/>
    <w:rsid w:val="64CE32E1"/>
    <w:rsid w:val="64D4C085"/>
    <w:rsid w:val="64D928B1"/>
    <w:rsid w:val="64DD4837"/>
    <w:rsid w:val="64E061D1"/>
    <w:rsid w:val="64E4AF59"/>
    <w:rsid w:val="64E626EC"/>
    <w:rsid w:val="64E8FC58"/>
    <w:rsid w:val="64ECEEDB"/>
    <w:rsid w:val="64F61670"/>
    <w:rsid w:val="64FC507C"/>
    <w:rsid w:val="64FE7C90"/>
    <w:rsid w:val="6504BCE8"/>
    <w:rsid w:val="6509FE98"/>
    <w:rsid w:val="651D50EE"/>
    <w:rsid w:val="6522E26B"/>
    <w:rsid w:val="652B0D46"/>
    <w:rsid w:val="652D0167"/>
    <w:rsid w:val="6530EF68"/>
    <w:rsid w:val="65378B9E"/>
    <w:rsid w:val="65403DF4"/>
    <w:rsid w:val="6549AB01"/>
    <w:rsid w:val="654CB0E3"/>
    <w:rsid w:val="654E8F8F"/>
    <w:rsid w:val="65571616"/>
    <w:rsid w:val="655B1282"/>
    <w:rsid w:val="655F7AFB"/>
    <w:rsid w:val="65609EED"/>
    <w:rsid w:val="65614999"/>
    <w:rsid w:val="65626FAF"/>
    <w:rsid w:val="6566B05E"/>
    <w:rsid w:val="65730E90"/>
    <w:rsid w:val="6574C35D"/>
    <w:rsid w:val="65843EEF"/>
    <w:rsid w:val="65864ECA"/>
    <w:rsid w:val="65878BC1"/>
    <w:rsid w:val="6592926C"/>
    <w:rsid w:val="65A418CA"/>
    <w:rsid w:val="65A7355C"/>
    <w:rsid w:val="65AC188A"/>
    <w:rsid w:val="65B39429"/>
    <w:rsid w:val="65B63D58"/>
    <w:rsid w:val="65B6AA63"/>
    <w:rsid w:val="65BBB29D"/>
    <w:rsid w:val="65C56B1B"/>
    <w:rsid w:val="65D4A55E"/>
    <w:rsid w:val="65D6121D"/>
    <w:rsid w:val="65DDA4D2"/>
    <w:rsid w:val="65DE0E51"/>
    <w:rsid w:val="65E0D5E5"/>
    <w:rsid w:val="65F31401"/>
    <w:rsid w:val="65F3AC7D"/>
    <w:rsid w:val="65FA34CB"/>
    <w:rsid w:val="65FBF992"/>
    <w:rsid w:val="65FC4F7E"/>
    <w:rsid w:val="65FEF1E4"/>
    <w:rsid w:val="6601F1E2"/>
    <w:rsid w:val="66028CDD"/>
    <w:rsid w:val="66065863"/>
    <w:rsid w:val="6607159A"/>
    <w:rsid w:val="660981D7"/>
    <w:rsid w:val="660A73F6"/>
    <w:rsid w:val="660C773A"/>
    <w:rsid w:val="6613C13E"/>
    <w:rsid w:val="66173D4A"/>
    <w:rsid w:val="661BE1A4"/>
    <w:rsid w:val="66226742"/>
    <w:rsid w:val="66292053"/>
    <w:rsid w:val="66295910"/>
    <w:rsid w:val="663312D9"/>
    <w:rsid w:val="664B3B45"/>
    <w:rsid w:val="66519290"/>
    <w:rsid w:val="665B386D"/>
    <w:rsid w:val="665EC6F5"/>
    <w:rsid w:val="6660B6D5"/>
    <w:rsid w:val="666413B2"/>
    <w:rsid w:val="66660923"/>
    <w:rsid w:val="66688A16"/>
    <w:rsid w:val="666C5BA4"/>
    <w:rsid w:val="666EF840"/>
    <w:rsid w:val="66719730"/>
    <w:rsid w:val="667353F1"/>
    <w:rsid w:val="66738A67"/>
    <w:rsid w:val="66785626"/>
    <w:rsid w:val="6678C99D"/>
    <w:rsid w:val="667CD4E4"/>
    <w:rsid w:val="667EDB07"/>
    <w:rsid w:val="6681C1B6"/>
    <w:rsid w:val="6687556D"/>
    <w:rsid w:val="668A9552"/>
    <w:rsid w:val="668EEB1B"/>
    <w:rsid w:val="669008AE"/>
    <w:rsid w:val="66981182"/>
    <w:rsid w:val="669AEDE2"/>
    <w:rsid w:val="669C6AF2"/>
    <w:rsid w:val="66A0447F"/>
    <w:rsid w:val="66A0C9E2"/>
    <w:rsid w:val="66A6FE2A"/>
    <w:rsid w:val="66AB8F96"/>
    <w:rsid w:val="66AE65D5"/>
    <w:rsid w:val="66BDD1C6"/>
    <w:rsid w:val="66C27F63"/>
    <w:rsid w:val="66C3E8DA"/>
    <w:rsid w:val="66CAD785"/>
    <w:rsid w:val="66CBB6EA"/>
    <w:rsid w:val="66CE463C"/>
    <w:rsid w:val="66D67311"/>
    <w:rsid w:val="66DE73D2"/>
    <w:rsid w:val="66E45E0B"/>
    <w:rsid w:val="66EC0B47"/>
    <w:rsid w:val="66F0D549"/>
    <w:rsid w:val="66F3DD4A"/>
    <w:rsid w:val="66F8C0BA"/>
    <w:rsid w:val="66F8E796"/>
    <w:rsid w:val="66FB76DF"/>
    <w:rsid w:val="66FC0D21"/>
    <w:rsid w:val="66FC45A8"/>
    <w:rsid w:val="66FC47B1"/>
    <w:rsid w:val="670026CA"/>
    <w:rsid w:val="6703E876"/>
    <w:rsid w:val="67041FA9"/>
    <w:rsid w:val="67097A0F"/>
    <w:rsid w:val="67126101"/>
    <w:rsid w:val="67190A60"/>
    <w:rsid w:val="671AA639"/>
    <w:rsid w:val="671B47B8"/>
    <w:rsid w:val="671E0FE1"/>
    <w:rsid w:val="6724FC04"/>
    <w:rsid w:val="67298635"/>
    <w:rsid w:val="672CDEE6"/>
    <w:rsid w:val="672D8D39"/>
    <w:rsid w:val="67319295"/>
    <w:rsid w:val="67362E1A"/>
    <w:rsid w:val="67387BD2"/>
    <w:rsid w:val="67387C54"/>
    <w:rsid w:val="673D25AA"/>
    <w:rsid w:val="673F86FF"/>
    <w:rsid w:val="674C32AB"/>
    <w:rsid w:val="674C3DC6"/>
    <w:rsid w:val="674CBD3E"/>
    <w:rsid w:val="674CCBDF"/>
    <w:rsid w:val="675535F6"/>
    <w:rsid w:val="6757D47A"/>
    <w:rsid w:val="675A801C"/>
    <w:rsid w:val="675DC902"/>
    <w:rsid w:val="67601D15"/>
    <w:rsid w:val="6768BF1C"/>
    <w:rsid w:val="6773BE63"/>
    <w:rsid w:val="6773DCB9"/>
    <w:rsid w:val="67747483"/>
    <w:rsid w:val="6790C864"/>
    <w:rsid w:val="67919664"/>
    <w:rsid w:val="6793E6CA"/>
    <w:rsid w:val="6799A4EE"/>
    <w:rsid w:val="67A67913"/>
    <w:rsid w:val="67AD0343"/>
    <w:rsid w:val="67AE9C66"/>
    <w:rsid w:val="67B22E96"/>
    <w:rsid w:val="67C09F4B"/>
    <w:rsid w:val="67C32856"/>
    <w:rsid w:val="67C5E721"/>
    <w:rsid w:val="67C80283"/>
    <w:rsid w:val="67C9EF76"/>
    <w:rsid w:val="67CB5C9F"/>
    <w:rsid w:val="67CBE8D9"/>
    <w:rsid w:val="67D43573"/>
    <w:rsid w:val="67E3A286"/>
    <w:rsid w:val="67E5F0C3"/>
    <w:rsid w:val="67E8A65C"/>
    <w:rsid w:val="67E8D840"/>
    <w:rsid w:val="67F0054F"/>
    <w:rsid w:val="67F2C58E"/>
    <w:rsid w:val="67F3100D"/>
    <w:rsid w:val="67F5CB90"/>
    <w:rsid w:val="67FAF57A"/>
    <w:rsid w:val="680CAFAF"/>
    <w:rsid w:val="68111644"/>
    <w:rsid w:val="6811423B"/>
    <w:rsid w:val="6829A597"/>
    <w:rsid w:val="682AA19A"/>
    <w:rsid w:val="682BC0DE"/>
    <w:rsid w:val="682DD72C"/>
    <w:rsid w:val="6834BF9B"/>
    <w:rsid w:val="683B5B9C"/>
    <w:rsid w:val="684AE55E"/>
    <w:rsid w:val="684DBEF6"/>
    <w:rsid w:val="684F135D"/>
    <w:rsid w:val="6853EB9C"/>
    <w:rsid w:val="685CC955"/>
    <w:rsid w:val="6861F280"/>
    <w:rsid w:val="6862EA46"/>
    <w:rsid w:val="686326F5"/>
    <w:rsid w:val="68645CB3"/>
    <w:rsid w:val="686A94A6"/>
    <w:rsid w:val="686EDC81"/>
    <w:rsid w:val="686FCA53"/>
    <w:rsid w:val="6872D5DC"/>
    <w:rsid w:val="687303C3"/>
    <w:rsid w:val="687CC5DA"/>
    <w:rsid w:val="68866909"/>
    <w:rsid w:val="6887D6FF"/>
    <w:rsid w:val="6887E735"/>
    <w:rsid w:val="688BE13D"/>
    <w:rsid w:val="6890D8E8"/>
    <w:rsid w:val="68912EAD"/>
    <w:rsid w:val="68957C18"/>
    <w:rsid w:val="6897E0E7"/>
    <w:rsid w:val="6898E922"/>
    <w:rsid w:val="689A480D"/>
    <w:rsid w:val="689FF00A"/>
    <w:rsid w:val="68A42BE0"/>
    <w:rsid w:val="68A4B136"/>
    <w:rsid w:val="68B1BBD7"/>
    <w:rsid w:val="68B2DA0F"/>
    <w:rsid w:val="68BC0240"/>
    <w:rsid w:val="68BCD5FE"/>
    <w:rsid w:val="68BDD005"/>
    <w:rsid w:val="68CE8123"/>
    <w:rsid w:val="68D135CB"/>
    <w:rsid w:val="68D6BC54"/>
    <w:rsid w:val="68E653C1"/>
    <w:rsid w:val="68E8030C"/>
    <w:rsid w:val="68EC073F"/>
    <w:rsid w:val="68F3BADC"/>
    <w:rsid w:val="6900CE2B"/>
    <w:rsid w:val="6901F3F6"/>
    <w:rsid w:val="6908AB21"/>
    <w:rsid w:val="69099D1B"/>
    <w:rsid w:val="690C2DB3"/>
    <w:rsid w:val="690E5E68"/>
    <w:rsid w:val="69116E0A"/>
    <w:rsid w:val="69158CEF"/>
    <w:rsid w:val="6919F306"/>
    <w:rsid w:val="691B7232"/>
    <w:rsid w:val="691C574C"/>
    <w:rsid w:val="691DB288"/>
    <w:rsid w:val="69259AE4"/>
    <w:rsid w:val="692873B9"/>
    <w:rsid w:val="693FB2C1"/>
    <w:rsid w:val="6940461F"/>
    <w:rsid w:val="6940D3DC"/>
    <w:rsid w:val="69425F16"/>
    <w:rsid w:val="6945E0E0"/>
    <w:rsid w:val="6947E97E"/>
    <w:rsid w:val="6948EC28"/>
    <w:rsid w:val="694CAFE3"/>
    <w:rsid w:val="694DB868"/>
    <w:rsid w:val="6951DFD2"/>
    <w:rsid w:val="6958CBD8"/>
    <w:rsid w:val="695BE659"/>
    <w:rsid w:val="69628207"/>
    <w:rsid w:val="6962C574"/>
    <w:rsid w:val="6966B52E"/>
    <w:rsid w:val="696C2F28"/>
    <w:rsid w:val="696C3E4D"/>
    <w:rsid w:val="696C7B8D"/>
    <w:rsid w:val="696E5B5D"/>
    <w:rsid w:val="696EB40F"/>
    <w:rsid w:val="696ED3F0"/>
    <w:rsid w:val="697072C0"/>
    <w:rsid w:val="69737676"/>
    <w:rsid w:val="69783DAE"/>
    <w:rsid w:val="697ED655"/>
    <w:rsid w:val="69840143"/>
    <w:rsid w:val="6985B702"/>
    <w:rsid w:val="698809A7"/>
    <w:rsid w:val="698AEE27"/>
    <w:rsid w:val="698BBD00"/>
    <w:rsid w:val="6997B0D2"/>
    <w:rsid w:val="69A3451E"/>
    <w:rsid w:val="69AB6EE9"/>
    <w:rsid w:val="69ACE093"/>
    <w:rsid w:val="69AFE179"/>
    <w:rsid w:val="69B059D1"/>
    <w:rsid w:val="69B1B10C"/>
    <w:rsid w:val="69B4F8E5"/>
    <w:rsid w:val="69B68B38"/>
    <w:rsid w:val="69B76ACC"/>
    <w:rsid w:val="69B7C658"/>
    <w:rsid w:val="69C2620B"/>
    <w:rsid w:val="69CB7905"/>
    <w:rsid w:val="69CBAFBB"/>
    <w:rsid w:val="69D51A8D"/>
    <w:rsid w:val="69D8B632"/>
    <w:rsid w:val="69DD4C41"/>
    <w:rsid w:val="69E158F3"/>
    <w:rsid w:val="69E5DB83"/>
    <w:rsid w:val="69E6ABEC"/>
    <w:rsid w:val="69EEF325"/>
    <w:rsid w:val="69EEF9B9"/>
    <w:rsid w:val="69F3ABAD"/>
    <w:rsid w:val="69F6028F"/>
    <w:rsid w:val="69FF3796"/>
    <w:rsid w:val="6A0415A1"/>
    <w:rsid w:val="6A12F32F"/>
    <w:rsid w:val="6A1BF60A"/>
    <w:rsid w:val="6A23F109"/>
    <w:rsid w:val="6A289782"/>
    <w:rsid w:val="6A28FB97"/>
    <w:rsid w:val="6A2AB3F1"/>
    <w:rsid w:val="6A2B3D82"/>
    <w:rsid w:val="6A2EFFC8"/>
    <w:rsid w:val="6A2FE6CA"/>
    <w:rsid w:val="6A3164DC"/>
    <w:rsid w:val="6A31B64D"/>
    <w:rsid w:val="6A33BF24"/>
    <w:rsid w:val="6A36B6E1"/>
    <w:rsid w:val="6A36F5CF"/>
    <w:rsid w:val="6A39867A"/>
    <w:rsid w:val="6A3B9B8E"/>
    <w:rsid w:val="6A3C7D94"/>
    <w:rsid w:val="6A411AD1"/>
    <w:rsid w:val="6A421463"/>
    <w:rsid w:val="6A458BC1"/>
    <w:rsid w:val="6A4D0955"/>
    <w:rsid w:val="6A55DC1E"/>
    <w:rsid w:val="6A59C09B"/>
    <w:rsid w:val="6A5CA599"/>
    <w:rsid w:val="6A5DDF07"/>
    <w:rsid w:val="6A5E31A4"/>
    <w:rsid w:val="6A6DDB5A"/>
    <w:rsid w:val="6A76134F"/>
    <w:rsid w:val="6A7B2731"/>
    <w:rsid w:val="6A7D46C3"/>
    <w:rsid w:val="6A7E383A"/>
    <w:rsid w:val="6A87054C"/>
    <w:rsid w:val="6A8948F2"/>
    <w:rsid w:val="6A89CEB8"/>
    <w:rsid w:val="6A8B4E0C"/>
    <w:rsid w:val="6A8F485B"/>
    <w:rsid w:val="6A8F5B81"/>
    <w:rsid w:val="6A90C55F"/>
    <w:rsid w:val="6A941246"/>
    <w:rsid w:val="6A9434F1"/>
    <w:rsid w:val="6A946239"/>
    <w:rsid w:val="6AA3F450"/>
    <w:rsid w:val="6AA69F2B"/>
    <w:rsid w:val="6AA8A9BC"/>
    <w:rsid w:val="6AB31091"/>
    <w:rsid w:val="6AB352A0"/>
    <w:rsid w:val="6ABA6E96"/>
    <w:rsid w:val="6ABB17C0"/>
    <w:rsid w:val="6ABC9F46"/>
    <w:rsid w:val="6ABF5795"/>
    <w:rsid w:val="6AC300F6"/>
    <w:rsid w:val="6AC72AA6"/>
    <w:rsid w:val="6ACE1337"/>
    <w:rsid w:val="6AE1ACBD"/>
    <w:rsid w:val="6AE9C3D4"/>
    <w:rsid w:val="6AF05BDC"/>
    <w:rsid w:val="6B0455FD"/>
    <w:rsid w:val="6B05CD0C"/>
    <w:rsid w:val="6B0BDB56"/>
    <w:rsid w:val="6B10968B"/>
    <w:rsid w:val="6B13A4C5"/>
    <w:rsid w:val="6B1D0E7C"/>
    <w:rsid w:val="6B1EEDB7"/>
    <w:rsid w:val="6B29C048"/>
    <w:rsid w:val="6B2B7973"/>
    <w:rsid w:val="6B37373B"/>
    <w:rsid w:val="6B385939"/>
    <w:rsid w:val="6B4809BC"/>
    <w:rsid w:val="6B548B23"/>
    <w:rsid w:val="6B55752C"/>
    <w:rsid w:val="6B56CB02"/>
    <w:rsid w:val="6B5D2A25"/>
    <w:rsid w:val="6B7511C5"/>
    <w:rsid w:val="6B7B66BC"/>
    <w:rsid w:val="6B7CEE44"/>
    <w:rsid w:val="6B819ECD"/>
    <w:rsid w:val="6B829C14"/>
    <w:rsid w:val="6B853E2B"/>
    <w:rsid w:val="6B8EEB0A"/>
    <w:rsid w:val="6B8F559A"/>
    <w:rsid w:val="6B99BEC8"/>
    <w:rsid w:val="6B9C0DD0"/>
    <w:rsid w:val="6BA629E2"/>
    <w:rsid w:val="6BA86851"/>
    <w:rsid w:val="6BB2BFAA"/>
    <w:rsid w:val="6BB46396"/>
    <w:rsid w:val="6BB48912"/>
    <w:rsid w:val="6BB5A177"/>
    <w:rsid w:val="6BBC78B9"/>
    <w:rsid w:val="6BBE9ABD"/>
    <w:rsid w:val="6BC234AA"/>
    <w:rsid w:val="6BC7DD7E"/>
    <w:rsid w:val="6BC9352A"/>
    <w:rsid w:val="6BCC3E42"/>
    <w:rsid w:val="6BD921F1"/>
    <w:rsid w:val="6BDA2EA0"/>
    <w:rsid w:val="6BDA75B5"/>
    <w:rsid w:val="6BDC990D"/>
    <w:rsid w:val="6BE1DB29"/>
    <w:rsid w:val="6BE60CCC"/>
    <w:rsid w:val="6BE77723"/>
    <w:rsid w:val="6BF41DD6"/>
    <w:rsid w:val="6BFA5256"/>
    <w:rsid w:val="6BFB04F7"/>
    <w:rsid w:val="6BFB5124"/>
    <w:rsid w:val="6C0A31DD"/>
    <w:rsid w:val="6C0A556B"/>
    <w:rsid w:val="6C0A7A49"/>
    <w:rsid w:val="6C0CBAA9"/>
    <w:rsid w:val="6C147810"/>
    <w:rsid w:val="6C170DD2"/>
    <w:rsid w:val="6C1D6197"/>
    <w:rsid w:val="6C2301D9"/>
    <w:rsid w:val="6C235B27"/>
    <w:rsid w:val="6C2B2403"/>
    <w:rsid w:val="6C2BA28B"/>
    <w:rsid w:val="6C2C2EBB"/>
    <w:rsid w:val="6C2CBB98"/>
    <w:rsid w:val="6C311EF2"/>
    <w:rsid w:val="6C3353F6"/>
    <w:rsid w:val="6C371C99"/>
    <w:rsid w:val="6C39CA1D"/>
    <w:rsid w:val="6C3B8872"/>
    <w:rsid w:val="6C3C1A0B"/>
    <w:rsid w:val="6C40D827"/>
    <w:rsid w:val="6C4D4DB6"/>
    <w:rsid w:val="6C50706F"/>
    <w:rsid w:val="6C53E117"/>
    <w:rsid w:val="6C74F005"/>
    <w:rsid w:val="6C77B76A"/>
    <w:rsid w:val="6C80746A"/>
    <w:rsid w:val="6C87D9C2"/>
    <w:rsid w:val="6C8F8227"/>
    <w:rsid w:val="6C8FB088"/>
    <w:rsid w:val="6C907BE0"/>
    <w:rsid w:val="6C90E0E9"/>
    <w:rsid w:val="6C921900"/>
    <w:rsid w:val="6C951612"/>
    <w:rsid w:val="6C959167"/>
    <w:rsid w:val="6C96DF4C"/>
    <w:rsid w:val="6C97FBDE"/>
    <w:rsid w:val="6C99BF4C"/>
    <w:rsid w:val="6C9CEB45"/>
    <w:rsid w:val="6CA89FC7"/>
    <w:rsid w:val="6CA8CF86"/>
    <w:rsid w:val="6CAB42A0"/>
    <w:rsid w:val="6CB26A79"/>
    <w:rsid w:val="6CB2B627"/>
    <w:rsid w:val="6CB71E64"/>
    <w:rsid w:val="6CB9FB9F"/>
    <w:rsid w:val="6CBAD68F"/>
    <w:rsid w:val="6CC23034"/>
    <w:rsid w:val="6CC830AE"/>
    <w:rsid w:val="6CC93EC6"/>
    <w:rsid w:val="6CCF16C5"/>
    <w:rsid w:val="6CD0FCA1"/>
    <w:rsid w:val="6CD436BA"/>
    <w:rsid w:val="6CD6DF96"/>
    <w:rsid w:val="6CD7FBDB"/>
    <w:rsid w:val="6CE18BB5"/>
    <w:rsid w:val="6CE43F66"/>
    <w:rsid w:val="6CE800AD"/>
    <w:rsid w:val="6CE857AB"/>
    <w:rsid w:val="6CED8450"/>
    <w:rsid w:val="6CF0A94D"/>
    <w:rsid w:val="6CF0F031"/>
    <w:rsid w:val="6CF928A5"/>
    <w:rsid w:val="6CFC261E"/>
    <w:rsid w:val="6CFEA0C2"/>
    <w:rsid w:val="6D02C091"/>
    <w:rsid w:val="6D07400A"/>
    <w:rsid w:val="6D0D6FF8"/>
    <w:rsid w:val="6D117486"/>
    <w:rsid w:val="6D15995E"/>
    <w:rsid w:val="6D160479"/>
    <w:rsid w:val="6D18119C"/>
    <w:rsid w:val="6D1ADB7B"/>
    <w:rsid w:val="6D1F34B7"/>
    <w:rsid w:val="6D1FC948"/>
    <w:rsid w:val="6D2210F4"/>
    <w:rsid w:val="6D23B227"/>
    <w:rsid w:val="6D265D56"/>
    <w:rsid w:val="6D284DC5"/>
    <w:rsid w:val="6D2E4364"/>
    <w:rsid w:val="6D308698"/>
    <w:rsid w:val="6D31A34E"/>
    <w:rsid w:val="6D31BCE3"/>
    <w:rsid w:val="6D346DD7"/>
    <w:rsid w:val="6D35E56F"/>
    <w:rsid w:val="6D398851"/>
    <w:rsid w:val="6D3D7C50"/>
    <w:rsid w:val="6D453E1A"/>
    <w:rsid w:val="6D4B1A80"/>
    <w:rsid w:val="6D4B45A4"/>
    <w:rsid w:val="6D4C3A94"/>
    <w:rsid w:val="6D4E90EE"/>
    <w:rsid w:val="6D528875"/>
    <w:rsid w:val="6D56019E"/>
    <w:rsid w:val="6D5FCA51"/>
    <w:rsid w:val="6D601106"/>
    <w:rsid w:val="6D64F659"/>
    <w:rsid w:val="6D666422"/>
    <w:rsid w:val="6D6D6466"/>
    <w:rsid w:val="6D771932"/>
    <w:rsid w:val="6D784E1C"/>
    <w:rsid w:val="6D7A7574"/>
    <w:rsid w:val="6D7ACAAF"/>
    <w:rsid w:val="6D800C63"/>
    <w:rsid w:val="6D81444F"/>
    <w:rsid w:val="6D82755D"/>
    <w:rsid w:val="6D8B5C75"/>
    <w:rsid w:val="6D9BBBF2"/>
    <w:rsid w:val="6D9FEC90"/>
    <w:rsid w:val="6DA116F8"/>
    <w:rsid w:val="6DA3B0F7"/>
    <w:rsid w:val="6DA4DE7B"/>
    <w:rsid w:val="6DAA78AA"/>
    <w:rsid w:val="6DABC0D0"/>
    <w:rsid w:val="6DB3DFD3"/>
    <w:rsid w:val="6DB49E78"/>
    <w:rsid w:val="6DB8BA51"/>
    <w:rsid w:val="6DC3D1B4"/>
    <w:rsid w:val="6DC61911"/>
    <w:rsid w:val="6DC99E33"/>
    <w:rsid w:val="6DD0961E"/>
    <w:rsid w:val="6DD09E62"/>
    <w:rsid w:val="6DE095AD"/>
    <w:rsid w:val="6DE3B607"/>
    <w:rsid w:val="6DFDEC47"/>
    <w:rsid w:val="6DFF1F9E"/>
    <w:rsid w:val="6E05533A"/>
    <w:rsid w:val="6E1772BE"/>
    <w:rsid w:val="6E1A1734"/>
    <w:rsid w:val="6E243251"/>
    <w:rsid w:val="6E2885C8"/>
    <w:rsid w:val="6E2BE27F"/>
    <w:rsid w:val="6E453005"/>
    <w:rsid w:val="6E4F6A02"/>
    <w:rsid w:val="6E4FDCB6"/>
    <w:rsid w:val="6E530BD2"/>
    <w:rsid w:val="6E5EE4B4"/>
    <w:rsid w:val="6E6620B2"/>
    <w:rsid w:val="6E742512"/>
    <w:rsid w:val="6E76716D"/>
    <w:rsid w:val="6E7D4DDA"/>
    <w:rsid w:val="6E7F1E39"/>
    <w:rsid w:val="6E833F2E"/>
    <w:rsid w:val="6E871377"/>
    <w:rsid w:val="6E8976C0"/>
    <w:rsid w:val="6E8C240F"/>
    <w:rsid w:val="6E8C49B4"/>
    <w:rsid w:val="6E8F9482"/>
    <w:rsid w:val="6E8FD638"/>
    <w:rsid w:val="6E8FE35D"/>
    <w:rsid w:val="6E958EE0"/>
    <w:rsid w:val="6EA13C29"/>
    <w:rsid w:val="6EA14AC5"/>
    <w:rsid w:val="6EA479AB"/>
    <w:rsid w:val="6EAB5B31"/>
    <w:rsid w:val="6EAC0F68"/>
    <w:rsid w:val="6EBBAD1B"/>
    <w:rsid w:val="6EC27077"/>
    <w:rsid w:val="6ECBC74E"/>
    <w:rsid w:val="6ED112B4"/>
    <w:rsid w:val="6EDC19BA"/>
    <w:rsid w:val="6EE0ED40"/>
    <w:rsid w:val="6EE66452"/>
    <w:rsid w:val="6EE86F21"/>
    <w:rsid w:val="6EEE529E"/>
    <w:rsid w:val="6EF00DBB"/>
    <w:rsid w:val="6EF913C9"/>
    <w:rsid w:val="6EFDD6A7"/>
    <w:rsid w:val="6EFFEAC0"/>
    <w:rsid w:val="6F069711"/>
    <w:rsid w:val="6F076A25"/>
    <w:rsid w:val="6F09DC59"/>
    <w:rsid w:val="6F1893DA"/>
    <w:rsid w:val="6F1A44EB"/>
    <w:rsid w:val="6F231C8B"/>
    <w:rsid w:val="6F24C530"/>
    <w:rsid w:val="6F26EE45"/>
    <w:rsid w:val="6F2C27CF"/>
    <w:rsid w:val="6F3203AC"/>
    <w:rsid w:val="6F332DC4"/>
    <w:rsid w:val="6F34874B"/>
    <w:rsid w:val="6F3E590B"/>
    <w:rsid w:val="6F3F36CA"/>
    <w:rsid w:val="6F41D29F"/>
    <w:rsid w:val="6F47486D"/>
    <w:rsid w:val="6F476637"/>
    <w:rsid w:val="6F49B133"/>
    <w:rsid w:val="6F4A3D34"/>
    <w:rsid w:val="6F61EA40"/>
    <w:rsid w:val="6F624D89"/>
    <w:rsid w:val="6F65F7A5"/>
    <w:rsid w:val="6F669DFC"/>
    <w:rsid w:val="6F736460"/>
    <w:rsid w:val="6F76C242"/>
    <w:rsid w:val="6F78046E"/>
    <w:rsid w:val="6F7DA501"/>
    <w:rsid w:val="6F81B1D0"/>
    <w:rsid w:val="6F864317"/>
    <w:rsid w:val="6F89D618"/>
    <w:rsid w:val="6F8A871C"/>
    <w:rsid w:val="6F8D854E"/>
    <w:rsid w:val="6F8EC1B0"/>
    <w:rsid w:val="6F93B704"/>
    <w:rsid w:val="6F954CB9"/>
    <w:rsid w:val="6F9EE8F8"/>
    <w:rsid w:val="6FA2D7CB"/>
    <w:rsid w:val="6FA354D1"/>
    <w:rsid w:val="6FA4769E"/>
    <w:rsid w:val="6FAE9423"/>
    <w:rsid w:val="6FB1010C"/>
    <w:rsid w:val="6FB21C12"/>
    <w:rsid w:val="6FB34425"/>
    <w:rsid w:val="6FB4A7FA"/>
    <w:rsid w:val="6FB89775"/>
    <w:rsid w:val="6FBA5873"/>
    <w:rsid w:val="6FC07B56"/>
    <w:rsid w:val="6FC5B27F"/>
    <w:rsid w:val="6FC69429"/>
    <w:rsid w:val="6FC7EACA"/>
    <w:rsid w:val="6FC9B9C2"/>
    <w:rsid w:val="6FCE270C"/>
    <w:rsid w:val="6FD1C43A"/>
    <w:rsid w:val="6FD89C01"/>
    <w:rsid w:val="6FDAC2C3"/>
    <w:rsid w:val="6FDBD089"/>
    <w:rsid w:val="6FDDCF3A"/>
    <w:rsid w:val="6FE0B3EF"/>
    <w:rsid w:val="6FE9FB88"/>
    <w:rsid w:val="6FEB2061"/>
    <w:rsid w:val="6FECC6E8"/>
    <w:rsid w:val="6FF064C0"/>
    <w:rsid w:val="6FF28ECE"/>
    <w:rsid w:val="6FF3087E"/>
    <w:rsid w:val="6FFEAE67"/>
    <w:rsid w:val="7002523F"/>
    <w:rsid w:val="70031FF8"/>
    <w:rsid w:val="7003BCE2"/>
    <w:rsid w:val="70089D63"/>
    <w:rsid w:val="7013C4E6"/>
    <w:rsid w:val="70195FC3"/>
    <w:rsid w:val="701D77A7"/>
    <w:rsid w:val="701F392D"/>
    <w:rsid w:val="701F8D04"/>
    <w:rsid w:val="701FF6B0"/>
    <w:rsid w:val="7022D1AD"/>
    <w:rsid w:val="70249B3E"/>
    <w:rsid w:val="7026AA1E"/>
    <w:rsid w:val="702B0F58"/>
    <w:rsid w:val="703E34B4"/>
    <w:rsid w:val="704FE720"/>
    <w:rsid w:val="7050661F"/>
    <w:rsid w:val="705193CB"/>
    <w:rsid w:val="705207F3"/>
    <w:rsid w:val="70524D69"/>
    <w:rsid w:val="7053889F"/>
    <w:rsid w:val="7058D0DB"/>
    <w:rsid w:val="705AEB01"/>
    <w:rsid w:val="705DFE87"/>
    <w:rsid w:val="7060D0A9"/>
    <w:rsid w:val="70662147"/>
    <w:rsid w:val="706BC445"/>
    <w:rsid w:val="706FDC28"/>
    <w:rsid w:val="70778D6B"/>
    <w:rsid w:val="70807512"/>
    <w:rsid w:val="70815B02"/>
    <w:rsid w:val="7082DDAB"/>
    <w:rsid w:val="70854CCD"/>
    <w:rsid w:val="7086A17F"/>
    <w:rsid w:val="708EBD8A"/>
    <w:rsid w:val="708ECCBC"/>
    <w:rsid w:val="70973B9B"/>
    <w:rsid w:val="7099A708"/>
    <w:rsid w:val="709C793C"/>
    <w:rsid w:val="70A126DF"/>
    <w:rsid w:val="70A39560"/>
    <w:rsid w:val="70A4EB07"/>
    <w:rsid w:val="70A5B210"/>
    <w:rsid w:val="70A8D1D7"/>
    <w:rsid w:val="70A97219"/>
    <w:rsid w:val="70AC8DAA"/>
    <w:rsid w:val="70BE78D4"/>
    <w:rsid w:val="70C024E1"/>
    <w:rsid w:val="70C37E61"/>
    <w:rsid w:val="70CF5782"/>
    <w:rsid w:val="70D0466B"/>
    <w:rsid w:val="70E22083"/>
    <w:rsid w:val="70E95112"/>
    <w:rsid w:val="70FB5216"/>
    <w:rsid w:val="70FB86A3"/>
    <w:rsid w:val="71013154"/>
    <w:rsid w:val="710AAA13"/>
    <w:rsid w:val="710E88A8"/>
    <w:rsid w:val="7110E077"/>
    <w:rsid w:val="7115AB56"/>
    <w:rsid w:val="7117846C"/>
    <w:rsid w:val="7117945F"/>
    <w:rsid w:val="711EFF62"/>
    <w:rsid w:val="711FC9CD"/>
    <w:rsid w:val="71240146"/>
    <w:rsid w:val="71252DD2"/>
    <w:rsid w:val="7126EC17"/>
    <w:rsid w:val="713491CB"/>
    <w:rsid w:val="71364855"/>
    <w:rsid w:val="7137AE61"/>
    <w:rsid w:val="7138E8F0"/>
    <w:rsid w:val="713D3252"/>
    <w:rsid w:val="713D6742"/>
    <w:rsid w:val="7141E5C8"/>
    <w:rsid w:val="71433142"/>
    <w:rsid w:val="71434990"/>
    <w:rsid w:val="714B5804"/>
    <w:rsid w:val="7154697F"/>
    <w:rsid w:val="7158FF64"/>
    <w:rsid w:val="715FC6D4"/>
    <w:rsid w:val="71625CAA"/>
    <w:rsid w:val="716AD762"/>
    <w:rsid w:val="716C8811"/>
    <w:rsid w:val="7179F59F"/>
    <w:rsid w:val="717A7181"/>
    <w:rsid w:val="717E7212"/>
    <w:rsid w:val="7184C387"/>
    <w:rsid w:val="71864606"/>
    <w:rsid w:val="71887B02"/>
    <w:rsid w:val="71913D0F"/>
    <w:rsid w:val="71944534"/>
    <w:rsid w:val="71945C70"/>
    <w:rsid w:val="7194E585"/>
    <w:rsid w:val="71A0E37A"/>
    <w:rsid w:val="71A1FD7C"/>
    <w:rsid w:val="71A7CD16"/>
    <w:rsid w:val="71AF8636"/>
    <w:rsid w:val="71B05C93"/>
    <w:rsid w:val="71B5C25F"/>
    <w:rsid w:val="71B6BF65"/>
    <w:rsid w:val="71B90102"/>
    <w:rsid w:val="71B96605"/>
    <w:rsid w:val="71BFC4F0"/>
    <w:rsid w:val="71D0BFFE"/>
    <w:rsid w:val="71D1B77B"/>
    <w:rsid w:val="71D7CF6E"/>
    <w:rsid w:val="71DEC251"/>
    <w:rsid w:val="71DF99CA"/>
    <w:rsid w:val="71E21658"/>
    <w:rsid w:val="71E2B858"/>
    <w:rsid w:val="71E4156A"/>
    <w:rsid w:val="71EB449E"/>
    <w:rsid w:val="71F00C17"/>
    <w:rsid w:val="71F37FD7"/>
    <w:rsid w:val="71F5BF8C"/>
    <w:rsid w:val="71F62DFE"/>
    <w:rsid w:val="71FA647C"/>
    <w:rsid w:val="71FA990F"/>
    <w:rsid w:val="71FB1BE6"/>
    <w:rsid w:val="71FE26AE"/>
    <w:rsid w:val="7201BF01"/>
    <w:rsid w:val="72046280"/>
    <w:rsid w:val="720888A0"/>
    <w:rsid w:val="7208DE98"/>
    <w:rsid w:val="720DFF19"/>
    <w:rsid w:val="72153C66"/>
    <w:rsid w:val="721A035F"/>
    <w:rsid w:val="721E0514"/>
    <w:rsid w:val="722A9169"/>
    <w:rsid w:val="722D34EC"/>
    <w:rsid w:val="722D729B"/>
    <w:rsid w:val="722D8516"/>
    <w:rsid w:val="722DDC41"/>
    <w:rsid w:val="722E3A0B"/>
    <w:rsid w:val="723C12BE"/>
    <w:rsid w:val="7244D549"/>
    <w:rsid w:val="72486375"/>
    <w:rsid w:val="724A8FE7"/>
    <w:rsid w:val="724F41A9"/>
    <w:rsid w:val="72508574"/>
    <w:rsid w:val="7251F1DF"/>
    <w:rsid w:val="7252CBE9"/>
    <w:rsid w:val="72575433"/>
    <w:rsid w:val="725A4F7E"/>
    <w:rsid w:val="725B1A1F"/>
    <w:rsid w:val="72650BE6"/>
    <w:rsid w:val="7265D0E3"/>
    <w:rsid w:val="7269A46E"/>
    <w:rsid w:val="727129DD"/>
    <w:rsid w:val="727391DC"/>
    <w:rsid w:val="727AFC50"/>
    <w:rsid w:val="727C0CD1"/>
    <w:rsid w:val="72830D32"/>
    <w:rsid w:val="728607FE"/>
    <w:rsid w:val="728A43C6"/>
    <w:rsid w:val="729D924E"/>
    <w:rsid w:val="729FC065"/>
    <w:rsid w:val="72A50FA4"/>
    <w:rsid w:val="72B1F013"/>
    <w:rsid w:val="72B2186B"/>
    <w:rsid w:val="72B25329"/>
    <w:rsid w:val="72B354CD"/>
    <w:rsid w:val="72B49C78"/>
    <w:rsid w:val="72BD1948"/>
    <w:rsid w:val="72C2CB67"/>
    <w:rsid w:val="72C88EC9"/>
    <w:rsid w:val="72D0D12D"/>
    <w:rsid w:val="72DA2271"/>
    <w:rsid w:val="72DB11C7"/>
    <w:rsid w:val="72E08115"/>
    <w:rsid w:val="72E918BD"/>
    <w:rsid w:val="72F181F2"/>
    <w:rsid w:val="72F44760"/>
    <w:rsid w:val="72F58010"/>
    <w:rsid w:val="72F5B69D"/>
    <w:rsid w:val="72F67B5E"/>
    <w:rsid w:val="72F868BB"/>
    <w:rsid w:val="72FE0BBF"/>
    <w:rsid w:val="73011AED"/>
    <w:rsid w:val="7302F31A"/>
    <w:rsid w:val="73061A91"/>
    <w:rsid w:val="730AE7FB"/>
    <w:rsid w:val="730CE294"/>
    <w:rsid w:val="7311D8C0"/>
    <w:rsid w:val="7318495B"/>
    <w:rsid w:val="7318BFA6"/>
    <w:rsid w:val="731B1BAE"/>
    <w:rsid w:val="731B6C87"/>
    <w:rsid w:val="731ECCD0"/>
    <w:rsid w:val="73215A4A"/>
    <w:rsid w:val="73315056"/>
    <w:rsid w:val="73370551"/>
    <w:rsid w:val="7337D923"/>
    <w:rsid w:val="73389DB8"/>
    <w:rsid w:val="733A67CD"/>
    <w:rsid w:val="733AC0BA"/>
    <w:rsid w:val="733B5E3A"/>
    <w:rsid w:val="73403E25"/>
    <w:rsid w:val="7343D19D"/>
    <w:rsid w:val="73443F04"/>
    <w:rsid w:val="7351E3AE"/>
    <w:rsid w:val="73542E1C"/>
    <w:rsid w:val="7357DF85"/>
    <w:rsid w:val="735F41C7"/>
    <w:rsid w:val="7362945D"/>
    <w:rsid w:val="7369CDD0"/>
    <w:rsid w:val="73704F05"/>
    <w:rsid w:val="737187DF"/>
    <w:rsid w:val="7375B76D"/>
    <w:rsid w:val="737C9D3A"/>
    <w:rsid w:val="738341A7"/>
    <w:rsid w:val="7383DDF8"/>
    <w:rsid w:val="738564F8"/>
    <w:rsid w:val="738590D6"/>
    <w:rsid w:val="738E422E"/>
    <w:rsid w:val="7391EC4E"/>
    <w:rsid w:val="73A8BA46"/>
    <w:rsid w:val="73ABA09A"/>
    <w:rsid w:val="73AC1D47"/>
    <w:rsid w:val="73ACCEBD"/>
    <w:rsid w:val="73AD0C50"/>
    <w:rsid w:val="73AD4E35"/>
    <w:rsid w:val="73AD99A2"/>
    <w:rsid w:val="73B595C2"/>
    <w:rsid w:val="73B6E1B4"/>
    <w:rsid w:val="73BF790F"/>
    <w:rsid w:val="73BFC30E"/>
    <w:rsid w:val="73C7044C"/>
    <w:rsid w:val="73C76434"/>
    <w:rsid w:val="73C95577"/>
    <w:rsid w:val="73C9CB1A"/>
    <w:rsid w:val="73CB52CA"/>
    <w:rsid w:val="73CD448D"/>
    <w:rsid w:val="73D0C2A6"/>
    <w:rsid w:val="73D560EA"/>
    <w:rsid w:val="73E154AC"/>
    <w:rsid w:val="73E3CE34"/>
    <w:rsid w:val="73EDC240"/>
    <w:rsid w:val="73EE4200"/>
    <w:rsid w:val="73F26339"/>
    <w:rsid w:val="73F26A5D"/>
    <w:rsid w:val="73F6BD68"/>
    <w:rsid w:val="73F886C0"/>
    <w:rsid w:val="73FA00B3"/>
    <w:rsid w:val="73FD4342"/>
    <w:rsid w:val="73FD6874"/>
    <w:rsid w:val="7406E1D9"/>
    <w:rsid w:val="740B7FCD"/>
    <w:rsid w:val="74151E49"/>
    <w:rsid w:val="7419722D"/>
    <w:rsid w:val="741A3802"/>
    <w:rsid w:val="741CF092"/>
    <w:rsid w:val="743276E5"/>
    <w:rsid w:val="74357014"/>
    <w:rsid w:val="74380655"/>
    <w:rsid w:val="743EA968"/>
    <w:rsid w:val="744884F4"/>
    <w:rsid w:val="7448D1A9"/>
    <w:rsid w:val="744D1BEA"/>
    <w:rsid w:val="744F081D"/>
    <w:rsid w:val="74507077"/>
    <w:rsid w:val="7453A7FC"/>
    <w:rsid w:val="745712B4"/>
    <w:rsid w:val="745B3553"/>
    <w:rsid w:val="746261EF"/>
    <w:rsid w:val="74631DE9"/>
    <w:rsid w:val="746443BD"/>
    <w:rsid w:val="74665CB5"/>
    <w:rsid w:val="746B513F"/>
    <w:rsid w:val="7478F659"/>
    <w:rsid w:val="7484F299"/>
    <w:rsid w:val="748E1FA2"/>
    <w:rsid w:val="7497D17C"/>
    <w:rsid w:val="74990FD5"/>
    <w:rsid w:val="749DE958"/>
    <w:rsid w:val="749EFDC0"/>
    <w:rsid w:val="74A38037"/>
    <w:rsid w:val="74A9D6A1"/>
    <w:rsid w:val="74ABC0D2"/>
    <w:rsid w:val="74AC8F50"/>
    <w:rsid w:val="74ACD876"/>
    <w:rsid w:val="74B6D53C"/>
    <w:rsid w:val="74B8C110"/>
    <w:rsid w:val="74BDA2E2"/>
    <w:rsid w:val="74C7362A"/>
    <w:rsid w:val="74C780CA"/>
    <w:rsid w:val="74CE2638"/>
    <w:rsid w:val="74DAA6C8"/>
    <w:rsid w:val="74DE2195"/>
    <w:rsid w:val="74E26DF5"/>
    <w:rsid w:val="74E34B33"/>
    <w:rsid w:val="74E91402"/>
    <w:rsid w:val="74F29FB7"/>
    <w:rsid w:val="74F3147C"/>
    <w:rsid w:val="74F39BD6"/>
    <w:rsid w:val="74F3B1A4"/>
    <w:rsid w:val="74F8AEE8"/>
    <w:rsid w:val="7502DBBE"/>
    <w:rsid w:val="75065F0C"/>
    <w:rsid w:val="75086209"/>
    <w:rsid w:val="750C130D"/>
    <w:rsid w:val="752029BA"/>
    <w:rsid w:val="7520FE2E"/>
    <w:rsid w:val="75254CEF"/>
    <w:rsid w:val="752B4DFB"/>
    <w:rsid w:val="752BBC0A"/>
    <w:rsid w:val="75397DFE"/>
    <w:rsid w:val="754012B5"/>
    <w:rsid w:val="7548ED70"/>
    <w:rsid w:val="7549445D"/>
    <w:rsid w:val="755479FB"/>
    <w:rsid w:val="755A4E51"/>
    <w:rsid w:val="755A6F39"/>
    <w:rsid w:val="755D642D"/>
    <w:rsid w:val="7561DDE7"/>
    <w:rsid w:val="75652FAA"/>
    <w:rsid w:val="7569AB18"/>
    <w:rsid w:val="756C3132"/>
    <w:rsid w:val="756CF294"/>
    <w:rsid w:val="756DBA0E"/>
    <w:rsid w:val="756F0253"/>
    <w:rsid w:val="756F6148"/>
    <w:rsid w:val="7571E64D"/>
    <w:rsid w:val="757F2A3E"/>
    <w:rsid w:val="75837272"/>
    <w:rsid w:val="75851D15"/>
    <w:rsid w:val="758B217F"/>
    <w:rsid w:val="758DA330"/>
    <w:rsid w:val="759360FE"/>
    <w:rsid w:val="7597CCE1"/>
    <w:rsid w:val="759AAED3"/>
    <w:rsid w:val="759E2106"/>
    <w:rsid w:val="759FFA25"/>
    <w:rsid w:val="75A5F864"/>
    <w:rsid w:val="75AAEB2A"/>
    <w:rsid w:val="75AB221A"/>
    <w:rsid w:val="75B08EE0"/>
    <w:rsid w:val="75B78497"/>
    <w:rsid w:val="75BAF8EA"/>
    <w:rsid w:val="75BD1ED9"/>
    <w:rsid w:val="75C4D336"/>
    <w:rsid w:val="75C71F52"/>
    <w:rsid w:val="75CA134E"/>
    <w:rsid w:val="75D0EBD0"/>
    <w:rsid w:val="75DD0270"/>
    <w:rsid w:val="75DEFAD6"/>
    <w:rsid w:val="75EA7076"/>
    <w:rsid w:val="75EB0303"/>
    <w:rsid w:val="75EBF9CF"/>
    <w:rsid w:val="75EF41BF"/>
    <w:rsid w:val="75EFC5A6"/>
    <w:rsid w:val="75F32447"/>
    <w:rsid w:val="75F7B1AB"/>
    <w:rsid w:val="75F85DE3"/>
    <w:rsid w:val="75FAF982"/>
    <w:rsid w:val="75FE98BE"/>
    <w:rsid w:val="75FEBC53"/>
    <w:rsid w:val="7601BDF1"/>
    <w:rsid w:val="76026504"/>
    <w:rsid w:val="7616119B"/>
    <w:rsid w:val="7623F278"/>
    <w:rsid w:val="76309EEA"/>
    <w:rsid w:val="76310BDA"/>
    <w:rsid w:val="7634299A"/>
    <w:rsid w:val="7634E036"/>
    <w:rsid w:val="7645E6D9"/>
    <w:rsid w:val="764A033A"/>
    <w:rsid w:val="765D6F1F"/>
    <w:rsid w:val="765E5C2E"/>
    <w:rsid w:val="765EB68A"/>
    <w:rsid w:val="766091F5"/>
    <w:rsid w:val="76637FC4"/>
    <w:rsid w:val="76670832"/>
    <w:rsid w:val="766C154E"/>
    <w:rsid w:val="766C7324"/>
    <w:rsid w:val="766F29BE"/>
    <w:rsid w:val="76705BA6"/>
    <w:rsid w:val="76744BB5"/>
    <w:rsid w:val="76784CC3"/>
    <w:rsid w:val="767BF9B8"/>
    <w:rsid w:val="767C2FFC"/>
    <w:rsid w:val="7680F9AF"/>
    <w:rsid w:val="768227E3"/>
    <w:rsid w:val="7683CDB6"/>
    <w:rsid w:val="76845075"/>
    <w:rsid w:val="7688945E"/>
    <w:rsid w:val="7689B4D4"/>
    <w:rsid w:val="7689EF88"/>
    <w:rsid w:val="7690C77C"/>
    <w:rsid w:val="769103C3"/>
    <w:rsid w:val="76977218"/>
    <w:rsid w:val="769D4D3F"/>
    <w:rsid w:val="769DB684"/>
    <w:rsid w:val="76A45D34"/>
    <w:rsid w:val="76A47FD4"/>
    <w:rsid w:val="76A9A1B2"/>
    <w:rsid w:val="76AA056C"/>
    <w:rsid w:val="76AAD013"/>
    <w:rsid w:val="76AC4104"/>
    <w:rsid w:val="76AE432A"/>
    <w:rsid w:val="76AECFD5"/>
    <w:rsid w:val="76B4107A"/>
    <w:rsid w:val="76B4D10C"/>
    <w:rsid w:val="76BC5520"/>
    <w:rsid w:val="76BED3DF"/>
    <w:rsid w:val="76BF3016"/>
    <w:rsid w:val="76D33759"/>
    <w:rsid w:val="76D5E422"/>
    <w:rsid w:val="76D632D7"/>
    <w:rsid w:val="76D6D507"/>
    <w:rsid w:val="76D9DB79"/>
    <w:rsid w:val="76DA9311"/>
    <w:rsid w:val="76DECE59"/>
    <w:rsid w:val="76E71DC7"/>
    <w:rsid w:val="76EACC0A"/>
    <w:rsid w:val="76EBE98B"/>
    <w:rsid w:val="76ED2DB5"/>
    <w:rsid w:val="76F15B27"/>
    <w:rsid w:val="76F2607F"/>
    <w:rsid w:val="76F2DB03"/>
    <w:rsid w:val="76F37FD0"/>
    <w:rsid w:val="76FD8909"/>
    <w:rsid w:val="76FDD56F"/>
    <w:rsid w:val="76FDE0FC"/>
    <w:rsid w:val="76FFC86E"/>
    <w:rsid w:val="7700A0DD"/>
    <w:rsid w:val="7704DFCF"/>
    <w:rsid w:val="7719BCFA"/>
    <w:rsid w:val="771FC54E"/>
    <w:rsid w:val="77256302"/>
    <w:rsid w:val="77332846"/>
    <w:rsid w:val="773D5951"/>
    <w:rsid w:val="774595C0"/>
    <w:rsid w:val="774AEB77"/>
    <w:rsid w:val="774BFFE4"/>
    <w:rsid w:val="774EA176"/>
    <w:rsid w:val="7756E1D6"/>
    <w:rsid w:val="775884D6"/>
    <w:rsid w:val="775C0B24"/>
    <w:rsid w:val="776264C0"/>
    <w:rsid w:val="77654B58"/>
    <w:rsid w:val="77707F72"/>
    <w:rsid w:val="77719C85"/>
    <w:rsid w:val="77723E62"/>
    <w:rsid w:val="77767777"/>
    <w:rsid w:val="777C9378"/>
    <w:rsid w:val="777D6059"/>
    <w:rsid w:val="77854953"/>
    <w:rsid w:val="778B6CC8"/>
    <w:rsid w:val="778C714F"/>
    <w:rsid w:val="77903D52"/>
    <w:rsid w:val="77926745"/>
    <w:rsid w:val="779F9CFF"/>
    <w:rsid w:val="77A0732A"/>
    <w:rsid w:val="77A1712B"/>
    <w:rsid w:val="77A5645E"/>
    <w:rsid w:val="77A5CA54"/>
    <w:rsid w:val="77A9ABAE"/>
    <w:rsid w:val="77AAD085"/>
    <w:rsid w:val="77AFBAFB"/>
    <w:rsid w:val="77B4B403"/>
    <w:rsid w:val="77B9A510"/>
    <w:rsid w:val="77B9C402"/>
    <w:rsid w:val="77BB2745"/>
    <w:rsid w:val="77BED5E1"/>
    <w:rsid w:val="77BF37A7"/>
    <w:rsid w:val="77C2E6C8"/>
    <w:rsid w:val="77C5890E"/>
    <w:rsid w:val="77D1C6EB"/>
    <w:rsid w:val="77DB4651"/>
    <w:rsid w:val="77DB971D"/>
    <w:rsid w:val="77DF7CE4"/>
    <w:rsid w:val="77E934B3"/>
    <w:rsid w:val="77EA0AB8"/>
    <w:rsid w:val="77F49490"/>
    <w:rsid w:val="77F934F4"/>
    <w:rsid w:val="77FB24EF"/>
    <w:rsid w:val="77FDA79E"/>
    <w:rsid w:val="7803A4BE"/>
    <w:rsid w:val="78063B8F"/>
    <w:rsid w:val="78147896"/>
    <w:rsid w:val="781F1A66"/>
    <w:rsid w:val="781F6629"/>
    <w:rsid w:val="7824725B"/>
    <w:rsid w:val="782676B2"/>
    <w:rsid w:val="7828876B"/>
    <w:rsid w:val="782C9104"/>
    <w:rsid w:val="782E576C"/>
    <w:rsid w:val="7837CEFE"/>
    <w:rsid w:val="783B7145"/>
    <w:rsid w:val="783C30E6"/>
    <w:rsid w:val="783CF10B"/>
    <w:rsid w:val="783CF459"/>
    <w:rsid w:val="7845CB78"/>
    <w:rsid w:val="784A4263"/>
    <w:rsid w:val="78505992"/>
    <w:rsid w:val="7860FF39"/>
    <w:rsid w:val="7865EFDA"/>
    <w:rsid w:val="78688815"/>
    <w:rsid w:val="786A011E"/>
    <w:rsid w:val="786CC3F5"/>
    <w:rsid w:val="7871FE0C"/>
    <w:rsid w:val="78722909"/>
    <w:rsid w:val="7876B46A"/>
    <w:rsid w:val="7879CF63"/>
    <w:rsid w:val="788F68DC"/>
    <w:rsid w:val="78906532"/>
    <w:rsid w:val="78956D27"/>
    <w:rsid w:val="7897AE94"/>
    <w:rsid w:val="78A3457A"/>
    <w:rsid w:val="78A38BAB"/>
    <w:rsid w:val="78A7D930"/>
    <w:rsid w:val="78A9C5D5"/>
    <w:rsid w:val="78A9D893"/>
    <w:rsid w:val="78AECA22"/>
    <w:rsid w:val="78B0E14F"/>
    <w:rsid w:val="78B56756"/>
    <w:rsid w:val="78B89E78"/>
    <w:rsid w:val="78C24134"/>
    <w:rsid w:val="78C593D9"/>
    <w:rsid w:val="78C97710"/>
    <w:rsid w:val="78D70AF7"/>
    <w:rsid w:val="78DA3E7B"/>
    <w:rsid w:val="78DC8E36"/>
    <w:rsid w:val="78E35E27"/>
    <w:rsid w:val="78E86DBE"/>
    <w:rsid w:val="78EA6370"/>
    <w:rsid w:val="78F20E4F"/>
    <w:rsid w:val="78FE5FFB"/>
    <w:rsid w:val="7903BCA2"/>
    <w:rsid w:val="79077106"/>
    <w:rsid w:val="79106173"/>
    <w:rsid w:val="792032F7"/>
    <w:rsid w:val="7922E0EB"/>
    <w:rsid w:val="79248347"/>
    <w:rsid w:val="79254B5F"/>
    <w:rsid w:val="7929F458"/>
    <w:rsid w:val="792C31F9"/>
    <w:rsid w:val="7930EA46"/>
    <w:rsid w:val="79338038"/>
    <w:rsid w:val="793919C3"/>
    <w:rsid w:val="7941EBAF"/>
    <w:rsid w:val="7946E02C"/>
    <w:rsid w:val="7948C103"/>
    <w:rsid w:val="794C677C"/>
    <w:rsid w:val="795395A9"/>
    <w:rsid w:val="79558700"/>
    <w:rsid w:val="79569276"/>
    <w:rsid w:val="795B3251"/>
    <w:rsid w:val="7963489E"/>
    <w:rsid w:val="79673877"/>
    <w:rsid w:val="796A3FAF"/>
    <w:rsid w:val="796ED411"/>
    <w:rsid w:val="796FDD52"/>
    <w:rsid w:val="797027A9"/>
    <w:rsid w:val="7973F740"/>
    <w:rsid w:val="7974330B"/>
    <w:rsid w:val="797461B5"/>
    <w:rsid w:val="79746E7E"/>
    <w:rsid w:val="7984E0D7"/>
    <w:rsid w:val="79860255"/>
    <w:rsid w:val="798717B0"/>
    <w:rsid w:val="79875BED"/>
    <w:rsid w:val="798B358E"/>
    <w:rsid w:val="798E6CC3"/>
    <w:rsid w:val="798F8796"/>
    <w:rsid w:val="799FD274"/>
    <w:rsid w:val="79B0B7B3"/>
    <w:rsid w:val="79B200D4"/>
    <w:rsid w:val="79B5AEFE"/>
    <w:rsid w:val="79BDA414"/>
    <w:rsid w:val="79BDAB25"/>
    <w:rsid w:val="79C2BEB8"/>
    <w:rsid w:val="79D9D444"/>
    <w:rsid w:val="79DAFEC6"/>
    <w:rsid w:val="79DE946A"/>
    <w:rsid w:val="79E2C626"/>
    <w:rsid w:val="79E39A73"/>
    <w:rsid w:val="79E787DA"/>
    <w:rsid w:val="79EA2443"/>
    <w:rsid w:val="79EAE468"/>
    <w:rsid w:val="79EB652C"/>
    <w:rsid w:val="79F521E8"/>
    <w:rsid w:val="79F5E143"/>
    <w:rsid w:val="79FBF59A"/>
    <w:rsid w:val="7A010466"/>
    <w:rsid w:val="7A0F54F3"/>
    <w:rsid w:val="7A1DAE70"/>
    <w:rsid w:val="7A206DD0"/>
    <w:rsid w:val="7A21C66E"/>
    <w:rsid w:val="7A2EA45A"/>
    <w:rsid w:val="7A40D8C2"/>
    <w:rsid w:val="7A40DBAC"/>
    <w:rsid w:val="7A4771B0"/>
    <w:rsid w:val="7A47809C"/>
    <w:rsid w:val="7A4A8E9F"/>
    <w:rsid w:val="7A4E6EB8"/>
    <w:rsid w:val="7A520FAC"/>
    <w:rsid w:val="7A598BCA"/>
    <w:rsid w:val="7A5CAEFD"/>
    <w:rsid w:val="7A6A4883"/>
    <w:rsid w:val="7A6C1FA4"/>
    <w:rsid w:val="7A734C5B"/>
    <w:rsid w:val="7A75FDCF"/>
    <w:rsid w:val="7A787473"/>
    <w:rsid w:val="7A7938E7"/>
    <w:rsid w:val="7A7A673F"/>
    <w:rsid w:val="7A7BC6CF"/>
    <w:rsid w:val="7A87F220"/>
    <w:rsid w:val="7A8A8C3E"/>
    <w:rsid w:val="7A8B0FE3"/>
    <w:rsid w:val="7A945D7C"/>
    <w:rsid w:val="7A9519E9"/>
    <w:rsid w:val="7AA606D1"/>
    <w:rsid w:val="7AB2A6EF"/>
    <w:rsid w:val="7AB53FC0"/>
    <w:rsid w:val="7AB57155"/>
    <w:rsid w:val="7AB6DAAD"/>
    <w:rsid w:val="7ABAA6EC"/>
    <w:rsid w:val="7ABDC7C2"/>
    <w:rsid w:val="7ABE4813"/>
    <w:rsid w:val="7ABEE078"/>
    <w:rsid w:val="7AC65438"/>
    <w:rsid w:val="7ACCE6AE"/>
    <w:rsid w:val="7ACE30A6"/>
    <w:rsid w:val="7ACED8D9"/>
    <w:rsid w:val="7AD2DD6C"/>
    <w:rsid w:val="7AD6647F"/>
    <w:rsid w:val="7ADE562F"/>
    <w:rsid w:val="7AEA0779"/>
    <w:rsid w:val="7AEA22BA"/>
    <w:rsid w:val="7AF2489B"/>
    <w:rsid w:val="7AFA45F8"/>
    <w:rsid w:val="7AFF9F9D"/>
    <w:rsid w:val="7B019735"/>
    <w:rsid w:val="7B02F00B"/>
    <w:rsid w:val="7B0700E6"/>
    <w:rsid w:val="7B085159"/>
    <w:rsid w:val="7B0B0A13"/>
    <w:rsid w:val="7B12F085"/>
    <w:rsid w:val="7B1764E4"/>
    <w:rsid w:val="7B1B4B28"/>
    <w:rsid w:val="7B1D8FB7"/>
    <w:rsid w:val="7B1EBDB2"/>
    <w:rsid w:val="7B1FBE0D"/>
    <w:rsid w:val="7B2D7A61"/>
    <w:rsid w:val="7B32387C"/>
    <w:rsid w:val="7B37B363"/>
    <w:rsid w:val="7B3D54BB"/>
    <w:rsid w:val="7B3F65C2"/>
    <w:rsid w:val="7B42BB55"/>
    <w:rsid w:val="7B4D400B"/>
    <w:rsid w:val="7B4DF3F8"/>
    <w:rsid w:val="7B4F50E9"/>
    <w:rsid w:val="7B53EE55"/>
    <w:rsid w:val="7B579584"/>
    <w:rsid w:val="7B5F376A"/>
    <w:rsid w:val="7B6015DB"/>
    <w:rsid w:val="7B604901"/>
    <w:rsid w:val="7B6BF97B"/>
    <w:rsid w:val="7B6FCC9E"/>
    <w:rsid w:val="7B6FF78B"/>
    <w:rsid w:val="7B717583"/>
    <w:rsid w:val="7B734866"/>
    <w:rsid w:val="7B7665D8"/>
    <w:rsid w:val="7B7A5D4A"/>
    <w:rsid w:val="7B7DEE91"/>
    <w:rsid w:val="7B87FA54"/>
    <w:rsid w:val="7B898EC5"/>
    <w:rsid w:val="7B8CEF55"/>
    <w:rsid w:val="7B909F66"/>
    <w:rsid w:val="7B939190"/>
    <w:rsid w:val="7B9B3E5B"/>
    <w:rsid w:val="7B9C7BA2"/>
    <w:rsid w:val="7B9F831B"/>
    <w:rsid w:val="7BA8FF66"/>
    <w:rsid w:val="7BBB1FBA"/>
    <w:rsid w:val="7BBC911C"/>
    <w:rsid w:val="7BCECAEE"/>
    <w:rsid w:val="7BD21EAE"/>
    <w:rsid w:val="7BD36B1C"/>
    <w:rsid w:val="7BDEBD2D"/>
    <w:rsid w:val="7BE045FA"/>
    <w:rsid w:val="7BE6B65D"/>
    <w:rsid w:val="7BE953A4"/>
    <w:rsid w:val="7BF36882"/>
    <w:rsid w:val="7BF3CB1F"/>
    <w:rsid w:val="7BF6FC89"/>
    <w:rsid w:val="7BFC99B6"/>
    <w:rsid w:val="7BFEA069"/>
    <w:rsid w:val="7BFEE3C6"/>
    <w:rsid w:val="7BFFA809"/>
    <w:rsid w:val="7C0120B8"/>
    <w:rsid w:val="7C03BAB4"/>
    <w:rsid w:val="7C072D4A"/>
    <w:rsid w:val="7C104515"/>
    <w:rsid w:val="7C1637A0"/>
    <w:rsid w:val="7C191366"/>
    <w:rsid w:val="7C19CA92"/>
    <w:rsid w:val="7C1A520D"/>
    <w:rsid w:val="7C20A9A7"/>
    <w:rsid w:val="7C24844B"/>
    <w:rsid w:val="7C26288E"/>
    <w:rsid w:val="7C268AAE"/>
    <w:rsid w:val="7C2812E1"/>
    <w:rsid w:val="7C2D0F89"/>
    <w:rsid w:val="7C3912B0"/>
    <w:rsid w:val="7C451781"/>
    <w:rsid w:val="7C49FE1E"/>
    <w:rsid w:val="7C4A905F"/>
    <w:rsid w:val="7C4B7B22"/>
    <w:rsid w:val="7C511765"/>
    <w:rsid w:val="7C544EB3"/>
    <w:rsid w:val="7C60673A"/>
    <w:rsid w:val="7C614216"/>
    <w:rsid w:val="7C65A942"/>
    <w:rsid w:val="7C6E98E8"/>
    <w:rsid w:val="7C6FA7E5"/>
    <w:rsid w:val="7C72CCB4"/>
    <w:rsid w:val="7C741332"/>
    <w:rsid w:val="7C81C41B"/>
    <w:rsid w:val="7C84686B"/>
    <w:rsid w:val="7C84B123"/>
    <w:rsid w:val="7C84E13C"/>
    <w:rsid w:val="7C866E74"/>
    <w:rsid w:val="7C8855A5"/>
    <w:rsid w:val="7C8E9F1E"/>
    <w:rsid w:val="7C90A76C"/>
    <w:rsid w:val="7C932AB1"/>
    <w:rsid w:val="7C9D2C5C"/>
    <w:rsid w:val="7C9EB115"/>
    <w:rsid w:val="7CA0F7A8"/>
    <w:rsid w:val="7CA28E66"/>
    <w:rsid w:val="7CA30528"/>
    <w:rsid w:val="7CA43587"/>
    <w:rsid w:val="7CA455D6"/>
    <w:rsid w:val="7CA7CD93"/>
    <w:rsid w:val="7CAE1B48"/>
    <w:rsid w:val="7CB31DA1"/>
    <w:rsid w:val="7CB33F70"/>
    <w:rsid w:val="7CB816DB"/>
    <w:rsid w:val="7CBECA28"/>
    <w:rsid w:val="7CC17CB8"/>
    <w:rsid w:val="7CC83C35"/>
    <w:rsid w:val="7CD035FB"/>
    <w:rsid w:val="7CE1121A"/>
    <w:rsid w:val="7CE12FB2"/>
    <w:rsid w:val="7CE75E5C"/>
    <w:rsid w:val="7CED73C0"/>
    <w:rsid w:val="7CF03F7A"/>
    <w:rsid w:val="7CFA1227"/>
    <w:rsid w:val="7D001A41"/>
    <w:rsid w:val="7D00CC70"/>
    <w:rsid w:val="7D09229E"/>
    <w:rsid w:val="7D09B213"/>
    <w:rsid w:val="7D0B4021"/>
    <w:rsid w:val="7D1909B2"/>
    <w:rsid w:val="7D1CE205"/>
    <w:rsid w:val="7D1DD22F"/>
    <w:rsid w:val="7D205279"/>
    <w:rsid w:val="7D24038C"/>
    <w:rsid w:val="7D2C45B2"/>
    <w:rsid w:val="7D307187"/>
    <w:rsid w:val="7D3A57EF"/>
    <w:rsid w:val="7D482CAD"/>
    <w:rsid w:val="7D48D05C"/>
    <w:rsid w:val="7D4B249A"/>
    <w:rsid w:val="7D4D3E31"/>
    <w:rsid w:val="7D532D96"/>
    <w:rsid w:val="7D563E85"/>
    <w:rsid w:val="7D58665C"/>
    <w:rsid w:val="7D5C68D0"/>
    <w:rsid w:val="7D634F6A"/>
    <w:rsid w:val="7D66F5A0"/>
    <w:rsid w:val="7D6D188B"/>
    <w:rsid w:val="7D750561"/>
    <w:rsid w:val="7D76D411"/>
    <w:rsid w:val="7D789679"/>
    <w:rsid w:val="7D78B542"/>
    <w:rsid w:val="7D7B63F9"/>
    <w:rsid w:val="7D818291"/>
    <w:rsid w:val="7D8235F0"/>
    <w:rsid w:val="7D89CB0F"/>
    <w:rsid w:val="7D8FD674"/>
    <w:rsid w:val="7D9248AD"/>
    <w:rsid w:val="7D958052"/>
    <w:rsid w:val="7D9612FA"/>
    <w:rsid w:val="7D984CEC"/>
    <w:rsid w:val="7D992F4B"/>
    <w:rsid w:val="7D99CD27"/>
    <w:rsid w:val="7DAC5715"/>
    <w:rsid w:val="7DB25CCD"/>
    <w:rsid w:val="7DB5E76A"/>
    <w:rsid w:val="7DCAF4EC"/>
    <w:rsid w:val="7DCE741C"/>
    <w:rsid w:val="7DD0E45E"/>
    <w:rsid w:val="7DD55722"/>
    <w:rsid w:val="7DDEDDCD"/>
    <w:rsid w:val="7DE660C0"/>
    <w:rsid w:val="7DF17730"/>
    <w:rsid w:val="7DF26D96"/>
    <w:rsid w:val="7DF4E529"/>
    <w:rsid w:val="7DF72F90"/>
    <w:rsid w:val="7DF85D60"/>
    <w:rsid w:val="7DF8AFD2"/>
    <w:rsid w:val="7DFA1B03"/>
    <w:rsid w:val="7DFA23E3"/>
    <w:rsid w:val="7DFA4CD9"/>
    <w:rsid w:val="7DFD9114"/>
    <w:rsid w:val="7E02B73D"/>
    <w:rsid w:val="7E069A03"/>
    <w:rsid w:val="7E1109F0"/>
    <w:rsid w:val="7E11276B"/>
    <w:rsid w:val="7E150B55"/>
    <w:rsid w:val="7E166FE1"/>
    <w:rsid w:val="7E1734B7"/>
    <w:rsid w:val="7E192DF2"/>
    <w:rsid w:val="7E19ED52"/>
    <w:rsid w:val="7E25EA33"/>
    <w:rsid w:val="7E2ACCFD"/>
    <w:rsid w:val="7E2C6D08"/>
    <w:rsid w:val="7E2D7DD9"/>
    <w:rsid w:val="7E2ED03D"/>
    <w:rsid w:val="7E33C610"/>
    <w:rsid w:val="7E3644DB"/>
    <w:rsid w:val="7E39A2B0"/>
    <w:rsid w:val="7E39EC65"/>
    <w:rsid w:val="7E3BCE70"/>
    <w:rsid w:val="7E419B54"/>
    <w:rsid w:val="7E432039"/>
    <w:rsid w:val="7E4355A5"/>
    <w:rsid w:val="7E4984BF"/>
    <w:rsid w:val="7E5AC47D"/>
    <w:rsid w:val="7E5D0B37"/>
    <w:rsid w:val="7E5E2403"/>
    <w:rsid w:val="7E5F3363"/>
    <w:rsid w:val="7E610BEA"/>
    <w:rsid w:val="7E61561E"/>
    <w:rsid w:val="7E678AB2"/>
    <w:rsid w:val="7E698A56"/>
    <w:rsid w:val="7E6A287D"/>
    <w:rsid w:val="7E773A40"/>
    <w:rsid w:val="7E7AD907"/>
    <w:rsid w:val="7E7BA3CC"/>
    <w:rsid w:val="7E81F140"/>
    <w:rsid w:val="7E82E9F2"/>
    <w:rsid w:val="7E838454"/>
    <w:rsid w:val="7E84AA08"/>
    <w:rsid w:val="7E8EF867"/>
    <w:rsid w:val="7E97E0F1"/>
    <w:rsid w:val="7E9B95AF"/>
    <w:rsid w:val="7E9CF297"/>
    <w:rsid w:val="7E9D17F0"/>
    <w:rsid w:val="7EA71082"/>
    <w:rsid w:val="7EA7FB75"/>
    <w:rsid w:val="7EB4B3AB"/>
    <w:rsid w:val="7EBACE83"/>
    <w:rsid w:val="7EC685E6"/>
    <w:rsid w:val="7ED3CDAB"/>
    <w:rsid w:val="7EDC3F41"/>
    <w:rsid w:val="7EEA7584"/>
    <w:rsid w:val="7EF0460F"/>
    <w:rsid w:val="7EF18102"/>
    <w:rsid w:val="7EF3675A"/>
    <w:rsid w:val="7EF45E17"/>
    <w:rsid w:val="7EF6FB96"/>
    <w:rsid w:val="7EF87B17"/>
    <w:rsid w:val="7EFABAC6"/>
    <w:rsid w:val="7F05D53B"/>
    <w:rsid w:val="7F081587"/>
    <w:rsid w:val="7F088DF8"/>
    <w:rsid w:val="7F0B02D5"/>
    <w:rsid w:val="7F107E49"/>
    <w:rsid w:val="7F11D8DA"/>
    <w:rsid w:val="7F1777B3"/>
    <w:rsid w:val="7F2F22D6"/>
    <w:rsid w:val="7F365063"/>
    <w:rsid w:val="7F3F44E8"/>
    <w:rsid w:val="7F463CC6"/>
    <w:rsid w:val="7F4DD862"/>
    <w:rsid w:val="7F50F59B"/>
    <w:rsid w:val="7F51861F"/>
    <w:rsid w:val="7F5368BF"/>
    <w:rsid w:val="7F5676B5"/>
    <w:rsid w:val="7F57CD37"/>
    <w:rsid w:val="7F5A20EC"/>
    <w:rsid w:val="7F5D8B62"/>
    <w:rsid w:val="7F6D2E01"/>
    <w:rsid w:val="7F6D31B8"/>
    <w:rsid w:val="7F7D7EF2"/>
    <w:rsid w:val="7F8273F3"/>
    <w:rsid w:val="7F84AE3A"/>
    <w:rsid w:val="7F8D70BB"/>
    <w:rsid w:val="7F8E5549"/>
    <w:rsid w:val="7F906662"/>
    <w:rsid w:val="7F90B58A"/>
    <w:rsid w:val="7F90BACA"/>
    <w:rsid w:val="7F9CDEDB"/>
    <w:rsid w:val="7F9CE198"/>
    <w:rsid w:val="7F9E0C99"/>
    <w:rsid w:val="7FA0D0B0"/>
    <w:rsid w:val="7FA3C37C"/>
    <w:rsid w:val="7FA9056C"/>
    <w:rsid w:val="7FB11BF3"/>
    <w:rsid w:val="7FB321C0"/>
    <w:rsid w:val="7FB4BD93"/>
    <w:rsid w:val="7FBEB808"/>
    <w:rsid w:val="7FC00801"/>
    <w:rsid w:val="7FC3F9F5"/>
    <w:rsid w:val="7FC82188"/>
    <w:rsid w:val="7FC8C100"/>
    <w:rsid w:val="7FC8C387"/>
    <w:rsid w:val="7FCCD56F"/>
    <w:rsid w:val="7FCF1256"/>
    <w:rsid w:val="7FCF2366"/>
    <w:rsid w:val="7FD2E59C"/>
    <w:rsid w:val="7FD4F77A"/>
    <w:rsid w:val="7FD5A493"/>
    <w:rsid w:val="7FDBD649"/>
    <w:rsid w:val="7FDD0DE5"/>
    <w:rsid w:val="7FDE59DC"/>
    <w:rsid w:val="7FE381EA"/>
    <w:rsid w:val="7FE77117"/>
    <w:rsid w:val="7FE840B6"/>
    <w:rsid w:val="7FEE7E15"/>
    <w:rsid w:val="7FF2C3F7"/>
    <w:rsid w:val="7FF9F327"/>
    <w:rsid w:val="7FFA5D7D"/>
    <w:rsid w:val="7FFCE3A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ADE30"/>
  <w15:chartTrackingRefBased/>
  <w15:docId w15:val="{10E642A1-2FC0-4386-92B7-98B1D85C8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4DD"/>
  </w:style>
  <w:style w:type="paragraph" w:styleId="Heading1">
    <w:name w:val="heading 1"/>
    <w:basedOn w:val="Normal"/>
    <w:next w:val="Normal"/>
    <w:link w:val="Heading1Char"/>
    <w:uiPriority w:val="9"/>
    <w:qFormat/>
    <w:rsid w:val="00EC2C2A"/>
    <w:pPr>
      <w:keepNext/>
      <w:keepLines/>
      <w:shd w:val="clear" w:color="auto" w:fill="D9E2F3" w:themeFill="accent1" w:themeFillTint="33"/>
      <w:spacing w:before="240" w:after="0" w:line="360" w:lineRule="auto"/>
      <w:outlineLvl w:val="0"/>
    </w:pPr>
    <w:rPr>
      <w:rFonts w:asciiTheme="majorHAnsi" w:eastAsiaTheme="majorEastAsia" w:hAnsiTheme="majorHAnsi" w:cstheme="majorBidi"/>
      <w:b/>
      <w:color w:val="2F5496" w:themeColor="accent1" w:themeShade="BF"/>
      <w:sz w:val="32"/>
      <w:szCs w:val="32"/>
    </w:rPr>
  </w:style>
  <w:style w:type="paragraph" w:styleId="Heading2">
    <w:name w:val="heading 2"/>
    <w:basedOn w:val="Normal"/>
    <w:next w:val="Normal"/>
    <w:link w:val="Heading2Char"/>
    <w:uiPriority w:val="9"/>
    <w:unhideWhenUsed/>
    <w:qFormat/>
    <w:rsid w:val="005C7B9B"/>
    <w:pPr>
      <w:keepNext/>
      <w:keepLines/>
      <w:spacing w:before="40" w:after="0" w:line="360" w:lineRule="auto"/>
      <w:outlineLvl w:val="1"/>
    </w:pPr>
    <w:rPr>
      <w:rFonts w:asciiTheme="majorHAnsi" w:eastAsiaTheme="majorEastAsia" w:hAnsiTheme="majorHAnsi" w:cstheme="majorBidi"/>
      <w:b/>
      <w:color w:val="2F5496" w:themeColor="accent1" w:themeShade="BF"/>
      <w:sz w:val="28"/>
      <w:szCs w:val="26"/>
    </w:rPr>
  </w:style>
  <w:style w:type="paragraph" w:styleId="Heading3">
    <w:name w:val="heading 3"/>
    <w:basedOn w:val="Normal"/>
    <w:next w:val="Normal"/>
    <w:link w:val="Heading3Char"/>
    <w:uiPriority w:val="9"/>
    <w:unhideWhenUsed/>
    <w:qFormat/>
    <w:rsid w:val="00FE7286"/>
    <w:pPr>
      <w:keepNext/>
      <w:keepLines/>
      <w:spacing w:before="40" w:after="0" w:line="360" w:lineRule="auto"/>
      <w:outlineLvl w:val="2"/>
    </w:pPr>
    <w:rPr>
      <w:rFonts w:eastAsiaTheme="majorEastAsia" w:cstheme="majorBidi"/>
      <w:i/>
      <w:color w:val="0070C0"/>
      <w:sz w:val="28"/>
      <w:szCs w:val="24"/>
    </w:rPr>
  </w:style>
  <w:style w:type="paragraph" w:styleId="Heading4">
    <w:name w:val="heading 4"/>
    <w:basedOn w:val="Normal"/>
    <w:next w:val="Normal"/>
    <w:link w:val="Heading4Char"/>
    <w:uiPriority w:val="9"/>
    <w:unhideWhenUsed/>
    <w:qFormat/>
    <w:rsid w:val="00405B8B"/>
    <w:pPr>
      <w:keepNext/>
      <w:keepLines/>
      <w:spacing w:before="40" w:after="0" w:line="360" w:lineRule="auto"/>
      <w:outlineLvl w:val="3"/>
    </w:pPr>
    <w:rPr>
      <w:rFonts w:asciiTheme="majorHAnsi" w:eastAsiaTheme="majorEastAsia" w:hAnsiTheme="majorHAnsi" w:cstheme="majorBidi"/>
      <w:iCs/>
      <w:color w:val="2F5496" w:themeColor="accent1" w:themeShade="B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2C2A"/>
    <w:rPr>
      <w:rFonts w:asciiTheme="majorHAnsi" w:eastAsiaTheme="majorEastAsia" w:hAnsiTheme="majorHAnsi" w:cstheme="majorBidi"/>
      <w:b/>
      <w:color w:val="2F5496" w:themeColor="accent1" w:themeShade="BF"/>
      <w:sz w:val="32"/>
      <w:szCs w:val="32"/>
      <w:shd w:val="clear" w:color="auto" w:fill="D9E2F3" w:themeFill="accent1" w:themeFillTint="33"/>
    </w:rPr>
  </w:style>
  <w:style w:type="character" w:customStyle="1" w:styleId="Heading2Char">
    <w:name w:val="Heading 2 Char"/>
    <w:basedOn w:val="DefaultParagraphFont"/>
    <w:link w:val="Heading2"/>
    <w:uiPriority w:val="9"/>
    <w:rsid w:val="005C7B9B"/>
    <w:rPr>
      <w:rFonts w:asciiTheme="majorHAnsi" w:eastAsiaTheme="majorEastAsia" w:hAnsiTheme="majorHAnsi" w:cstheme="majorBidi"/>
      <w:b/>
      <w:color w:val="2F5496" w:themeColor="accent1" w:themeShade="BF"/>
      <w:sz w:val="28"/>
      <w:szCs w:val="26"/>
    </w:rPr>
  </w:style>
  <w:style w:type="character" w:customStyle="1" w:styleId="Heading3Char">
    <w:name w:val="Heading 3 Char"/>
    <w:basedOn w:val="DefaultParagraphFont"/>
    <w:link w:val="Heading3"/>
    <w:uiPriority w:val="9"/>
    <w:rsid w:val="00FE7286"/>
    <w:rPr>
      <w:rFonts w:eastAsiaTheme="majorEastAsia" w:cstheme="majorBidi"/>
      <w:i/>
      <w:color w:val="0070C0"/>
      <w:sz w:val="28"/>
      <w:szCs w:val="24"/>
    </w:rPr>
  </w:style>
  <w:style w:type="character" w:customStyle="1" w:styleId="Heading4Char">
    <w:name w:val="Heading 4 Char"/>
    <w:basedOn w:val="DefaultParagraphFont"/>
    <w:link w:val="Heading4"/>
    <w:uiPriority w:val="9"/>
    <w:rsid w:val="00405B8B"/>
    <w:rPr>
      <w:rFonts w:asciiTheme="majorHAnsi" w:eastAsiaTheme="majorEastAsia" w:hAnsiTheme="majorHAnsi" w:cstheme="majorBidi"/>
      <w:iCs/>
      <w:color w:val="2F5496" w:themeColor="accent1" w:themeShade="BF"/>
      <w:sz w:val="24"/>
    </w:rPr>
  </w:style>
  <w:style w:type="paragraph" w:styleId="ListParagraph">
    <w:name w:val="List Paragraph"/>
    <w:basedOn w:val="Normal"/>
    <w:link w:val="ListParagraphChar"/>
    <w:uiPriority w:val="34"/>
    <w:qFormat/>
    <w:rsid w:val="002E4818"/>
    <w:pPr>
      <w:ind w:left="720"/>
      <w:contextualSpacing/>
    </w:pPr>
  </w:style>
  <w:style w:type="character" w:customStyle="1" w:styleId="ListParagraphChar">
    <w:name w:val="List Paragraph Char"/>
    <w:basedOn w:val="DefaultParagraphFont"/>
    <w:link w:val="ListParagraph"/>
    <w:uiPriority w:val="34"/>
    <w:rsid w:val="00626357"/>
  </w:style>
  <w:style w:type="character" w:styleId="Hyperlink">
    <w:name w:val="Hyperlink"/>
    <w:basedOn w:val="DefaultParagraphFont"/>
    <w:uiPriority w:val="99"/>
    <w:unhideWhenUsed/>
    <w:rsid w:val="002E4818"/>
    <w:rPr>
      <w:color w:val="0563C1" w:themeColor="hyperlink"/>
      <w:u w:val="single"/>
    </w:rPr>
  </w:style>
  <w:style w:type="table" w:styleId="TableGrid">
    <w:name w:val="Table Grid"/>
    <w:basedOn w:val="TableNormal"/>
    <w:uiPriority w:val="39"/>
    <w:rsid w:val="002E4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E481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2E4818"/>
    <w:rPr>
      <w:i/>
      <w:iCs/>
    </w:rPr>
  </w:style>
  <w:style w:type="character" w:styleId="Strong">
    <w:name w:val="Strong"/>
    <w:basedOn w:val="DefaultParagraphFont"/>
    <w:uiPriority w:val="22"/>
    <w:qFormat/>
    <w:rsid w:val="002E4818"/>
    <w:rPr>
      <w:b/>
      <w:bCs/>
    </w:rPr>
  </w:style>
  <w:style w:type="paragraph" w:styleId="Header">
    <w:name w:val="header"/>
    <w:basedOn w:val="Normal"/>
    <w:link w:val="HeaderChar"/>
    <w:uiPriority w:val="99"/>
    <w:unhideWhenUsed/>
    <w:rsid w:val="00EE31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E3113"/>
  </w:style>
  <w:style w:type="paragraph" w:styleId="Footer">
    <w:name w:val="footer"/>
    <w:basedOn w:val="Normal"/>
    <w:link w:val="FooterChar"/>
    <w:uiPriority w:val="99"/>
    <w:unhideWhenUsed/>
    <w:rsid w:val="00EE31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E3113"/>
  </w:style>
  <w:style w:type="character" w:customStyle="1" w:styleId="UnresolvedMention1">
    <w:name w:val="Unresolved Mention1"/>
    <w:basedOn w:val="DefaultParagraphFont"/>
    <w:uiPriority w:val="99"/>
    <w:semiHidden/>
    <w:unhideWhenUsed/>
    <w:rsid w:val="000C2F63"/>
    <w:rPr>
      <w:color w:val="605E5C"/>
      <w:shd w:val="clear" w:color="auto" w:fill="E1DFDD"/>
    </w:rPr>
  </w:style>
  <w:style w:type="paragraph" w:styleId="TOCHeading">
    <w:name w:val="TOC Heading"/>
    <w:basedOn w:val="Heading1"/>
    <w:next w:val="Normal"/>
    <w:uiPriority w:val="39"/>
    <w:unhideWhenUsed/>
    <w:qFormat/>
    <w:rsid w:val="001D736C"/>
    <w:pPr>
      <w:outlineLvl w:val="9"/>
    </w:pPr>
    <w:rPr>
      <w:lang w:val="en-US" w:eastAsia="en-US"/>
    </w:rPr>
  </w:style>
  <w:style w:type="paragraph" w:styleId="TOC1">
    <w:name w:val="toc 1"/>
    <w:basedOn w:val="Normal"/>
    <w:next w:val="Normal"/>
    <w:autoRedefine/>
    <w:uiPriority w:val="39"/>
    <w:unhideWhenUsed/>
    <w:rsid w:val="006D097C"/>
    <w:pPr>
      <w:tabs>
        <w:tab w:val="right" w:leader="dot" w:pos="9016"/>
      </w:tabs>
      <w:spacing w:after="100"/>
    </w:pPr>
    <w:rPr>
      <w:rFonts w:eastAsia="DengXian Light" w:cstheme="minorHAnsi"/>
      <w:noProof/>
    </w:rPr>
  </w:style>
  <w:style w:type="paragraph" w:styleId="TOC2">
    <w:name w:val="toc 2"/>
    <w:basedOn w:val="Normal"/>
    <w:next w:val="Normal"/>
    <w:autoRedefine/>
    <w:uiPriority w:val="39"/>
    <w:unhideWhenUsed/>
    <w:rsid w:val="00272A29"/>
    <w:pPr>
      <w:spacing w:after="100"/>
      <w:ind w:left="220"/>
    </w:pPr>
  </w:style>
  <w:style w:type="paragraph" w:customStyle="1" w:styleId="EndNoteBibliographyTitle">
    <w:name w:val="EndNote Bibliography Title"/>
    <w:basedOn w:val="Normal"/>
    <w:link w:val="EndNoteBibliographyTitleChar"/>
    <w:rsid w:val="00FE4BCE"/>
    <w:pPr>
      <w:spacing w:after="0"/>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FE4BCE"/>
    <w:rPr>
      <w:rFonts w:ascii="Calibri" w:hAnsi="Calibri" w:cs="Calibri"/>
      <w:noProof/>
    </w:rPr>
  </w:style>
  <w:style w:type="paragraph" w:customStyle="1" w:styleId="EndNoteBibliography">
    <w:name w:val="EndNote Bibliography"/>
    <w:basedOn w:val="Normal"/>
    <w:link w:val="EndNoteBibliographyChar"/>
    <w:rsid w:val="00FE4BCE"/>
    <w:pPr>
      <w:spacing w:line="240" w:lineRule="auto"/>
    </w:pPr>
    <w:rPr>
      <w:rFonts w:ascii="Calibri" w:hAnsi="Calibri" w:cs="Calibri"/>
      <w:noProof/>
    </w:rPr>
  </w:style>
  <w:style w:type="character" w:customStyle="1" w:styleId="EndNoteBibliographyChar">
    <w:name w:val="EndNote Bibliography Char"/>
    <w:basedOn w:val="DefaultParagraphFont"/>
    <w:link w:val="EndNoteBibliography"/>
    <w:rsid w:val="00FE4BCE"/>
    <w:rPr>
      <w:rFonts w:ascii="Calibri" w:hAnsi="Calibri" w:cs="Calibri"/>
      <w:noProof/>
    </w:rPr>
  </w:style>
  <w:style w:type="paragraph" w:styleId="CommentText">
    <w:name w:val="annotation text"/>
    <w:basedOn w:val="Normal"/>
    <w:link w:val="CommentTextChar"/>
    <w:uiPriority w:val="99"/>
    <w:unhideWhenUsed/>
    <w:rsid w:val="00FE4BCE"/>
    <w:pPr>
      <w:spacing w:after="200"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rsid w:val="00FE4BCE"/>
    <w:rPr>
      <w:rFonts w:eastAsiaTheme="minorHAnsi"/>
      <w:sz w:val="20"/>
      <w:szCs w:val="20"/>
      <w:lang w:eastAsia="en-US"/>
    </w:rPr>
  </w:style>
  <w:style w:type="character" w:styleId="FollowedHyperlink">
    <w:name w:val="FollowedHyperlink"/>
    <w:basedOn w:val="DefaultParagraphFont"/>
    <w:uiPriority w:val="99"/>
    <w:semiHidden/>
    <w:unhideWhenUsed/>
    <w:rsid w:val="004A54BD"/>
    <w:rPr>
      <w:color w:val="954F72" w:themeColor="followedHyperlink"/>
      <w:u w:val="single"/>
    </w:rPr>
  </w:style>
  <w:style w:type="paragraph" w:styleId="BalloonText">
    <w:name w:val="Balloon Text"/>
    <w:basedOn w:val="Normal"/>
    <w:link w:val="BalloonTextChar"/>
    <w:uiPriority w:val="99"/>
    <w:semiHidden/>
    <w:unhideWhenUsed/>
    <w:rsid w:val="00217A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7A68"/>
    <w:rPr>
      <w:rFonts w:ascii="Segoe UI" w:hAnsi="Segoe UI" w:cs="Segoe UI"/>
      <w:sz w:val="18"/>
      <w:szCs w:val="18"/>
    </w:rPr>
  </w:style>
  <w:style w:type="character" w:customStyle="1" w:styleId="normaltextrun">
    <w:name w:val="normaltextrun"/>
    <w:basedOn w:val="DefaultParagraphFont"/>
    <w:rsid w:val="00FC2DFA"/>
  </w:style>
  <w:style w:type="character" w:customStyle="1" w:styleId="eop">
    <w:name w:val="eop"/>
    <w:basedOn w:val="DefaultParagraphFont"/>
    <w:rsid w:val="00FC2DFA"/>
  </w:style>
  <w:style w:type="character" w:customStyle="1" w:styleId="spellingerror">
    <w:name w:val="spellingerror"/>
    <w:basedOn w:val="DefaultParagraphFont"/>
    <w:rsid w:val="00002B77"/>
  </w:style>
  <w:style w:type="character" w:styleId="CommentReference">
    <w:name w:val="annotation reference"/>
    <w:basedOn w:val="DefaultParagraphFont"/>
    <w:uiPriority w:val="99"/>
    <w:semiHidden/>
    <w:unhideWhenUsed/>
    <w:rsid w:val="009E541A"/>
    <w:rPr>
      <w:sz w:val="16"/>
      <w:szCs w:val="16"/>
    </w:rPr>
  </w:style>
  <w:style w:type="paragraph" w:styleId="CommentSubject">
    <w:name w:val="annotation subject"/>
    <w:basedOn w:val="CommentText"/>
    <w:next w:val="CommentText"/>
    <w:link w:val="CommentSubjectChar"/>
    <w:uiPriority w:val="99"/>
    <w:semiHidden/>
    <w:unhideWhenUsed/>
    <w:rsid w:val="009E541A"/>
    <w:pPr>
      <w:spacing w:after="160"/>
    </w:pPr>
    <w:rPr>
      <w:rFonts w:eastAsiaTheme="minorEastAsia"/>
      <w:b/>
      <w:bCs/>
      <w:lang w:eastAsia="zh-CN"/>
    </w:rPr>
  </w:style>
  <w:style w:type="character" w:customStyle="1" w:styleId="CommentSubjectChar">
    <w:name w:val="Comment Subject Char"/>
    <w:basedOn w:val="CommentTextChar"/>
    <w:link w:val="CommentSubject"/>
    <w:uiPriority w:val="99"/>
    <w:semiHidden/>
    <w:rsid w:val="009E541A"/>
    <w:rPr>
      <w:rFonts w:eastAsiaTheme="minorHAnsi"/>
      <w:b/>
      <w:bCs/>
      <w:sz w:val="20"/>
      <w:szCs w:val="20"/>
      <w:lang w:eastAsia="en-US"/>
    </w:rPr>
  </w:style>
  <w:style w:type="paragraph" w:styleId="BodyText">
    <w:name w:val="Body Text"/>
    <w:basedOn w:val="Normal"/>
    <w:link w:val="BodyTextChar"/>
    <w:rsid w:val="002D18DC"/>
    <w:pPr>
      <w:spacing w:after="0" w:line="240" w:lineRule="auto"/>
    </w:pPr>
    <w:rPr>
      <w:rFonts w:ascii="Arial" w:eastAsia="Times New Roman" w:hAnsi="Arial" w:cs="Times New Roman"/>
      <w:b/>
      <w:bCs/>
      <w:sz w:val="24"/>
      <w:szCs w:val="24"/>
      <w:lang w:val="x-none" w:eastAsia="en-US"/>
    </w:rPr>
  </w:style>
  <w:style w:type="character" w:customStyle="1" w:styleId="BodyTextChar">
    <w:name w:val="Body Text Char"/>
    <w:basedOn w:val="DefaultParagraphFont"/>
    <w:link w:val="BodyText"/>
    <w:rsid w:val="002D18DC"/>
    <w:rPr>
      <w:rFonts w:ascii="Arial" w:eastAsia="Times New Roman" w:hAnsi="Arial" w:cs="Times New Roman"/>
      <w:b/>
      <w:bCs/>
      <w:sz w:val="24"/>
      <w:szCs w:val="24"/>
      <w:lang w:val="x-none" w:eastAsia="en-US"/>
    </w:rPr>
  </w:style>
  <w:style w:type="character" w:customStyle="1" w:styleId="UnresolvedMention2">
    <w:name w:val="Unresolved Mention2"/>
    <w:basedOn w:val="DefaultParagraphFont"/>
    <w:uiPriority w:val="99"/>
    <w:semiHidden/>
    <w:unhideWhenUsed/>
    <w:rsid w:val="00FA1365"/>
    <w:rPr>
      <w:color w:val="605E5C"/>
      <w:shd w:val="clear" w:color="auto" w:fill="E1DFDD"/>
    </w:rPr>
  </w:style>
  <w:style w:type="character" w:customStyle="1" w:styleId="UnresolvedMention3">
    <w:name w:val="Unresolved Mention3"/>
    <w:basedOn w:val="DefaultParagraphFont"/>
    <w:uiPriority w:val="99"/>
    <w:semiHidden/>
    <w:unhideWhenUsed/>
    <w:rsid w:val="002F2760"/>
    <w:rPr>
      <w:color w:val="605E5C"/>
      <w:shd w:val="clear" w:color="auto" w:fill="E1DFDD"/>
    </w:rPr>
  </w:style>
  <w:style w:type="paragraph" w:styleId="NoSpacing">
    <w:name w:val="No Spacing"/>
    <w:aliases w:val="Arial"/>
    <w:uiPriority w:val="1"/>
    <w:qFormat/>
    <w:rsid w:val="00C87FEE"/>
    <w:pPr>
      <w:spacing w:before="120" w:after="120" w:line="360" w:lineRule="auto"/>
    </w:pPr>
    <w:rPr>
      <w:rFonts w:ascii="Arial" w:eastAsiaTheme="minorHAnsi" w:hAnsi="Arial"/>
      <w:lang w:eastAsia="en-US"/>
    </w:rPr>
  </w:style>
  <w:style w:type="character" w:customStyle="1" w:styleId="UnresolvedMention4">
    <w:name w:val="Unresolved Mention4"/>
    <w:basedOn w:val="DefaultParagraphFont"/>
    <w:uiPriority w:val="99"/>
    <w:semiHidden/>
    <w:unhideWhenUsed/>
    <w:rsid w:val="001F288D"/>
    <w:rPr>
      <w:color w:val="605E5C"/>
      <w:shd w:val="clear" w:color="auto" w:fill="E1DFDD"/>
    </w:rPr>
  </w:style>
  <w:style w:type="paragraph" w:styleId="TOC3">
    <w:name w:val="toc 3"/>
    <w:basedOn w:val="Normal"/>
    <w:next w:val="Normal"/>
    <w:autoRedefine/>
    <w:uiPriority w:val="39"/>
    <w:unhideWhenUsed/>
    <w:rsid w:val="005126FF"/>
    <w:pPr>
      <w:tabs>
        <w:tab w:val="right" w:leader="dot" w:pos="9016"/>
      </w:tabs>
      <w:spacing w:after="100"/>
      <w:ind w:left="440"/>
    </w:pPr>
  </w:style>
  <w:style w:type="paragraph" w:styleId="TOC4">
    <w:name w:val="toc 4"/>
    <w:basedOn w:val="Normal"/>
    <w:next w:val="Normal"/>
    <w:autoRedefine/>
    <w:uiPriority w:val="39"/>
    <w:unhideWhenUsed/>
    <w:rsid w:val="0049723A"/>
    <w:pPr>
      <w:spacing w:after="100"/>
      <w:ind w:left="660"/>
    </w:pPr>
    <w:rPr>
      <w:lang w:eastAsia="en-GB"/>
    </w:rPr>
  </w:style>
  <w:style w:type="paragraph" w:styleId="TOC5">
    <w:name w:val="toc 5"/>
    <w:basedOn w:val="Normal"/>
    <w:next w:val="Normal"/>
    <w:autoRedefine/>
    <w:uiPriority w:val="39"/>
    <w:unhideWhenUsed/>
    <w:rsid w:val="0049723A"/>
    <w:pPr>
      <w:spacing w:after="100"/>
      <w:ind w:left="880"/>
    </w:pPr>
    <w:rPr>
      <w:lang w:eastAsia="en-GB"/>
    </w:rPr>
  </w:style>
  <w:style w:type="paragraph" w:styleId="TOC6">
    <w:name w:val="toc 6"/>
    <w:basedOn w:val="Normal"/>
    <w:next w:val="Normal"/>
    <w:autoRedefine/>
    <w:uiPriority w:val="39"/>
    <w:unhideWhenUsed/>
    <w:rsid w:val="0049723A"/>
    <w:pPr>
      <w:spacing w:after="100"/>
      <w:ind w:left="1100"/>
    </w:pPr>
    <w:rPr>
      <w:lang w:eastAsia="en-GB"/>
    </w:rPr>
  </w:style>
  <w:style w:type="paragraph" w:styleId="TOC7">
    <w:name w:val="toc 7"/>
    <w:basedOn w:val="Normal"/>
    <w:next w:val="Normal"/>
    <w:autoRedefine/>
    <w:uiPriority w:val="39"/>
    <w:unhideWhenUsed/>
    <w:rsid w:val="0049723A"/>
    <w:pPr>
      <w:spacing w:after="100"/>
      <w:ind w:left="1320"/>
    </w:pPr>
    <w:rPr>
      <w:lang w:eastAsia="en-GB"/>
    </w:rPr>
  </w:style>
  <w:style w:type="paragraph" w:styleId="TOC8">
    <w:name w:val="toc 8"/>
    <w:basedOn w:val="Normal"/>
    <w:next w:val="Normal"/>
    <w:autoRedefine/>
    <w:uiPriority w:val="39"/>
    <w:unhideWhenUsed/>
    <w:rsid w:val="0049723A"/>
    <w:pPr>
      <w:spacing w:after="100"/>
      <w:ind w:left="1540"/>
    </w:pPr>
    <w:rPr>
      <w:lang w:eastAsia="en-GB"/>
    </w:rPr>
  </w:style>
  <w:style w:type="paragraph" w:styleId="TOC9">
    <w:name w:val="toc 9"/>
    <w:basedOn w:val="Normal"/>
    <w:next w:val="Normal"/>
    <w:autoRedefine/>
    <w:uiPriority w:val="39"/>
    <w:unhideWhenUsed/>
    <w:rsid w:val="0049723A"/>
    <w:pPr>
      <w:spacing w:after="100"/>
      <w:ind w:left="1760"/>
    </w:pPr>
    <w:rPr>
      <w:lang w:eastAsia="en-GB"/>
    </w:rPr>
  </w:style>
  <w:style w:type="character" w:customStyle="1" w:styleId="UnresolvedMention5">
    <w:name w:val="Unresolved Mention5"/>
    <w:basedOn w:val="DefaultParagraphFont"/>
    <w:uiPriority w:val="99"/>
    <w:semiHidden/>
    <w:unhideWhenUsed/>
    <w:rsid w:val="00D51B5E"/>
    <w:rPr>
      <w:color w:val="605E5C"/>
      <w:shd w:val="clear" w:color="auto" w:fill="E1DFDD"/>
    </w:rPr>
  </w:style>
  <w:style w:type="character" w:customStyle="1" w:styleId="ff2">
    <w:name w:val="ff2"/>
    <w:basedOn w:val="DefaultParagraphFont"/>
    <w:rsid w:val="00174917"/>
  </w:style>
  <w:style w:type="character" w:customStyle="1" w:styleId="ls2">
    <w:name w:val="ls2"/>
    <w:basedOn w:val="DefaultParagraphFont"/>
    <w:rsid w:val="00174917"/>
  </w:style>
  <w:style w:type="character" w:customStyle="1" w:styleId="ls3">
    <w:name w:val="ls3"/>
    <w:basedOn w:val="DefaultParagraphFont"/>
    <w:rsid w:val="00174917"/>
  </w:style>
  <w:style w:type="character" w:customStyle="1" w:styleId="ls4">
    <w:name w:val="ls4"/>
    <w:basedOn w:val="DefaultParagraphFont"/>
    <w:rsid w:val="00174917"/>
  </w:style>
  <w:style w:type="character" w:customStyle="1" w:styleId="ff3">
    <w:name w:val="ff3"/>
    <w:basedOn w:val="DefaultParagraphFont"/>
    <w:rsid w:val="00174917"/>
  </w:style>
  <w:style w:type="table" w:customStyle="1" w:styleId="TableGrid1">
    <w:name w:val="Table Grid1"/>
    <w:basedOn w:val="TableNormal"/>
    <w:next w:val="TableGrid"/>
    <w:uiPriority w:val="39"/>
    <w:rsid w:val="00A74AD2"/>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rsid w:val="00D7735D"/>
    <w:rPr>
      <w:color w:val="605E5C"/>
      <w:shd w:val="clear" w:color="auto" w:fill="E1DFDD"/>
    </w:rPr>
  </w:style>
  <w:style w:type="character" w:customStyle="1" w:styleId="UnresolvedMention7">
    <w:name w:val="Unresolved Mention7"/>
    <w:basedOn w:val="DefaultParagraphFont"/>
    <w:uiPriority w:val="99"/>
    <w:semiHidden/>
    <w:unhideWhenUsed/>
    <w:rsid w:val="00E753A0"/>
    <w:rPr>
      <w:color w:val="605E5C"/>
      <w:shd w:val="clear" w:color="auto" w:fill="E1DFDD"/>
    </w:rPr>
  </w:style>
  <w:style w:type="character" w:customStyle="1" w:styleId="UnresolvedMention8">
    <w:name w:val="Unresolved Mention8"/>
    <w:basedOn w:val="DefaultParagraphFont"/>
    <w:uiPriority w:val="99"/>
    <w:semiHidden/>
    <w:unhideWhenUsed/>
    <w:rsid w:val="00773CC5"/>
    <w:rPr>
      <w:color w:val="605E5C"/>
      <w:shd w:val="clear" w:color="auto" w:fill="E1DFDD"/>
    </w:rPr>
  </w:style>
  <w:style w:type="character" w:styleId="UnresolvedMention">
    <w:name w:val="Unresolved Mention"/>
    <w:basedOn w:val="DefaultParagraphFont"/>
    <w:uiPriority w:val="99"/>
    <w:semiHidden/>
    <w:unhideWhenUsed/>
    <w:rsid w:val="003E5FA6"/>
    <w:rPr>
      <w:color w:val="605E5C"/>
      <w:shd w:val="clear" w:color="auto" w:fill="E1DFDD"/>
    </w:rPr>
  </w:style>
  <w:style w:type="paragraph" w:styleId="Revision">
    <w:name w:val="Revision"/>
    <w:hidden/>
    <w:uiPriority w:val="99"/>
    <w:semiHidden/>
    <w:rsid w:val="00292DA1"/>
    <w:pPr>
      <w:spacing w:after="0" w:line="240" w:lineRule="auto"/>
    </w:pPr>
  </w:style>
  <w:style w:type="paragraph" w:styleId="Caption">
    <w:name w:val="caption"/>
    <w:basedOn w:val="Normal"/>
    <w:next w:val="Normal"/>
    <w:uiPriority w:val="35"/>
    <w:unhideWhenUsed/>
    <w:qFormat/>
    <w:rsid w:val="00495620"/>
    <w:pPr>
      <w:spacing w:after="200" w:line="240" w:lineRule="auto"/>
    </w:pPr>
    <w:rPr>
      <w:i/>
      <w:iCs/>
      <w:color w:val="44546A" w:themeColor="text2"/>
      <w:sz w:val="18"/>
      <w:szCs w:val="18"/>
    </w:rPr>
  </w:style>
  <w:style w:type="paragraph" w:styleId="TableofFigures">
    <w:name w:val="table of figures"/>
    <w:basedOn w:val="Normal"/>
    <w:next w:val="Normal"/>
    <w:uiPriority w:val="99"/>
    <w:unhideWhenUsed/>
    <w:rsid w:val="00F460C8"/>
    <w:pPr>
      <w:spacing w:after="0"/>
    </w:pPr>
    <w:rPr>
      <w:sz w:val="24"/>
    </w:rPr>
  </w:style>
  <w:style w:type="table" w:styleId="PlainTable2">
    <w:name w:val="Plain Table 2"/>
    <w:basedOn w:val="TableNormal"/>
    <w:uiPriority w:val="42"/>
    <w:rsid w:val="00CE2C4D"/>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 Grid11"/>
    <w:basedOn w:val="TableNormal"/>
    <w:next w:val="TableGrid"/>
    <w:uiPriority w:val="39"/>
    <w:rsid w:val="004C5003"/>
    <w:pPr>
      <w:spacing w:after="0" w:line="240" w:lineRule="auto"/>
    </w:pPr>
    <w:rPr>
      <w:rFonts w:eastAsia="Times New Roman" w:cs="Arial"/>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C5003"/>
    <w:pPr>
      <w:spacing w:after="0" w:line="240" w:lineRule="auto"/>
    </w:pPr>
    <w:rPr>
      <w:rFonts w:eastAsia="Times New Roman" w:cs="Arial"/>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DefaultParagraphFont"/>
    <w:rsid w:val="003447C3"/>
  </w:style>
  <w:style w:type="paragraph" w:customStyle="1" w:styleId="65ReferencesTextstylesTextstyles">
    <w:name w:val="6.5 References (Text styles) (Text styles)"/>
    <w:basedOn w:val="Normal"/>
    <w:uiPriority w:val="99"/>
    <w:rsid w:val="00666310"/>
    <w:pPr>
      <w:widowControl w:val="0"/>
      <w:suppressAutoHyphens/>
      <w:autoSpaceDE w:val="0"/>
      <w:autoSpaceDN w:val="0"/>
      <w:adjustRightInd w:val="0"/>
      <w:spacing w:after="130" w:line="260" w:lineRule="atLeast"/>
      <w:ind w:left="600" w:hanging="120"/>
      <w:textAlignment w:val="center"/>
    </w:pPr>
    <w:rPr>
      <w:rFonts w:ascii="Humanist777BT-LightB" w:eastAsia="Times New Roman" w:hAnsi="Humanist777BT-LightB" w:cs="Humanist777BT-LightB"/>
      <w:color w:val="00000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060891">
      <w:bodyDiv w:val="1"/>
      <w:marLeft w:val="0"/>
      <w:marRight w:val="0"/>
      <w:marTop w:val="0"/>
      <w:marBottom w:val="0"/>
      <w:divBdr>
        <w:top w:val="none" w:sz="0" w:space="0" w:color="auto"/>
        <w:left w:val="none" w:sz="0" w:space="0" w:color="auto"/>
        <w:bottom w:val="none" w:sz="0" w:space="0" w:color="auto"/>
        <w:right w:val="none" w:sz="0" w:space="0" w:color="auto"/>
      </w:divBdr>
    </w:div>
    <w:div w:id="99224872">
      <w:bodyDiv w:val="1"/>
      <w:marLeft w:val="0"/>
      <w:marRight w:val="0"/>
      <w:marTop w:val="0"/>
      <w:marBottom w:val="0"/>
      <w:divBdr>
        <w:top w:val="none" w:sz="0" w:space="0" w:color="auto"/>
        <w:left w:val="none" w:sz="0" w:space="0" w:color="auto"/>
        <w:bottom w:val="none" w:sz="0" w:space="0" w:color="auto"/>
        <w:right w:val="none" w:sz="0" w:space="0" w:color="auto"/>
      </w:divBdr>
    </w:div>
    <w:div w:id="123694753">
      <w:bodyDiv w:val="1"/>
      <w:marLeft w:val="0"/>
      <w:marRight w:val="0"/>
      <w:marTop w:val="0"/>
      <w:marBottom w:val="0"/>
      <w:divBdr>
        <w:top w:val="none" w:sz="0" w:space="0" w:color="auto"/>
        <w:left w:val="none" w:sz="0" w:space="0" w:color="auto"/>
        <w:bottom w:val="none" w:sz="0" w:space="0" w:color="auto"/>
        <w:right w:val="none" w:sz="0" w:space="0" w:color="auto"/>
      </w:divBdr>
    </w:div>
    <w:div w:id="435296887">
      <w:bodyDiv w:val="1"/>
      <w:marLeft w:val="0"/>
      <w:marRight w:val="0"/>
      <w:marTop w:val="0"/>
      <w:marBottom w:val="0"/>
      <w:divBdr>
        <w:top w:val="none" w:sz="0" w:space="0" w:color="auto"/>
        <w:left w:val="none" w:sz="0" w:space="0" w:color="auto"/>
        <w:bottom w:val="none" w:sz="0" w:space="0" w:color="auto"/>
        <w:right w:val="none" w:sz="0" w:space="0" w:color="auto"/>
      </w:divBdr>
    </w:div>
    <w:div w:id="446824450">
      <w:bodyDiv w:val="1"/>
      <w:marLeft w:val="0"/>
      <w:marRight w:val="0"/>
      <w:marTop w:val="0"/>
      <w:marBottom w:val="0"/>
      <w:divBdr>
        <w:top w:val="none" w:sz="0" w:space="0" w:color="auto"/>
        <w:left w:val="none" w:sz="0" w:space="0" w:color="auto"/>
        <w:bottom w:val="none" w:sz="0" w:space="0" w:color="auto"/>
        <w:right w:val="none" w:sz="0" w:space="0" w:color="auto"/>
      </w:divBdr>
    </w:div>
    <w:div w:id="831798945">
      <w:bodyDiv w:val="1"/>
      <w:marLeft w:val="0"/>
      <w:marRight w:val="0"/>
      <w:marTop w:val="0"/>
      <w:marBottom w:val="0"/>
      <w:divBdr>
        <w:top w:val="none" w:sz="0" w:space="0" w:color="auto"/>
        <w:left w:val="none" w:sz="0" w:space="0" w:color="auto"/>
        <w:bottom w:val="none" w:sz="0" w:space="0" w:color="auto"/>
        <w:right w:val="none" w:sz="0" w:space="0" w:color="auto"/>
      </w:divBdr>
    </w:div>
    <w:div w:id="1129513190">
      <w:bodyDiv w:val="1"/>
      <w:marLeft w:val="0"/>
      <w:marRight w:val="0"/>
      <w:marTop w:val="0"/>
      <w:marBottom w:val="0"/>
      <w:divBdr>
        <w:top w:val="none" w:sz="0" w:space="0" w:color="auto"/>
        <w:left w:val="none" w:sz="0" w:space="0" w:color="auto"/>
        <w:bottom w:val="none" w:sz="0" w:space="0" w:color="auto"/>
        <w:right w:val="none" w:sz="0" w:space="0" w:color="auto"/>
      </w:divBdr>
    </w:div>
    <w:div w:id="1974828787">
      <w:bodyDiv w:val="1"/>
      <w:marLeft w:val="0"/>
      <w:marRight w:val="0"/>
      <w:marTop w:val="0"/>
      <w:marBottom w:val="0"/>
      <w:divBdr>
        <w:top w:val="none" w:sz="0" w:space="0" w:color="auto"/>
        <w:left w:val="none" w:sz="0" w:space="0" w:color="auto"/>
        <w:bottom w:val="none" w:sz="0" w:space="0" w:color="auto"/>
        <w:right w:val="none" w:sz="0" w:space="0" w:color="auto"/>
      </w:divBdr>
    </w:div>
    <w:div w:id="2002804767">
      <w:bodyDiv w:val="1"/>
      <w:marLeft w:val="0"/>
      <w:marRight w:val="0"/>
      <w:marTop w:val="0"/>
      <w:marBottom w:val="0"/>
      <w:divBdr>
        <w:top w:val="none" w:sz="0" w:space="0" w:color="auto"/>
        <w:left w:val="none" w:sz="0" w:space="0" w:color="auto"/>
        <w:bottom w:val="none" w:sz="0" w:space="0" w:color="auto"/>
        <w:right w:val="none" w:sz="0" w:space="0" w:color="auto"/>
      </w:divBdr>
    </w:div>
    <w:div w:id="2044818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20EA8918173084EABB54110D5BD8B3D" ma:contentTypeVersion="8" ma:contentTypeDescription="Create a new document." ma:contentTypeScope="" ma:versionID="d7b6ab2692787e97779d8a11e3f31b3f">
  <xsd:schema xmlns:xsd="http://www.w3.org/2001/XMLSchema" xmlns:xs="http://www.w3.org/2001/XMLSchema" xmlns:p="http://schemas.microsoft.com/office/2006/metadata/properties" xmlns:ns2="92ac0f3d-b243-47ab-93d5-46c7b29bbd9a" targetNamespace="http://schemas.microsoft.com/office/2006/metadata/properties" ma:root="true" ma:fieldsID="76082a365cae1359ad1c959d3852464c" ns2:_="">
    <xsd:import namespace="92ac0f3d-b243-47ab-93d5-46c7b29bbd9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ac0f3d-b243-47ab-93d5-46c7b29bb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19F486-F09B-457A-9381-FA71E77837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2043CC-2491-48B4-B926-9ACFD164A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ac0f3d-b243-47ab-93d5-46c7b29bbd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D69AD1-298D-4EDC-B431-5926EEE7D259}">
  <ds:schemaRefs>
    <ds:schemaRef ds:uri="http://schemas.openxmlformats.org/officeDocument/2006/bibliography"/>
  </ds:schemaRefs>
</ds:datastoreItem>
</file>

<file path=customXml/itemProps4.xml><?xml version="1.0" encoding="utf-8"?>
<ds:datastoreItem xmlns:ds="http://schemas.openxmlformats.org/officeDocument/2006/customXml" ds:itemID="{2DEC1F34-2230-4015-B7AD-7C0FED578E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5617</Words>
  <Characters>32018</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37560</CharactersWithSpaces>
  <SharedDoc>false</SharedDoc>
  <HLinks>
    <vt:vector size="1386" baseType="variant">
      <vt:variant>
        <vt:i4>5832780</vt:i4>
      </vt:variant>
      <vt:variant>
        <vt:i4>2007</vt:i4>
      </vt:variant>
      <vt:variant>
        <vt:i4>0</vt:i4>
      </vt:variant>
      <vt:variant>
        <vt:i4>5</vt:i4>
      </vt:variant>
      <vt:variant>
        <vt:lpwstr>https://doi.org/10.1002/acr.24534</vt:lpwstr>
      </vt:variant>
      <vt:variant>
        <vt:lpwstr/>
      </vt:variant>
      <vt:variant>
        <vt:i4>5767263</vt:i4>
      </vt:variant>
      <vt:variant>
        <vt:i4>2004</vt:i4>
      </vt:variant>
      <vt:variant>
        <vt:i4>0</vt:i4>
      </vt:variant>
      <vt:variant>
        <vt:i4>5</vt:i4>
      </vt:variant>
      <vt:variant>
        <vt:lpwstr>https://doi.org/10.1111/hex.13098:1202-12</vt:lpwstr>
      </vt:variant>
      <vt:variant>
        <vt:lpwstr/>
      </vt:variant>
      <vt:variant>
        <vt:i4>5832785</vt:i4>
      </vt:variant>
      <vt:variant>
        <vt:i4>2001</vt:i4>
      </vt:variant>
      <vt:variant>
        <vt:i4>0</vt:i4>
      </vt:variant>
      <vt:variant>
        <vt:i4>5</vt:i4>
      </vt:variant>
      <vt:variant>
        <vt:lpwstr>https://research-information.bris.ac.uk/admin/editor/dk/atira/pure/api/shared/model/researchoutput/editor/othercontributioneditor.xhtml?id=242072533</vt:lpwstr>
      </vt:variant>
      <vt:variant>
        <vt:lpwstr/>
      </vt:variant>
      <vt:variant>
        <vt:i4>5308421</vt:i4>
      </vt:variant>
      <vt:variant>
        <vt:i4>1998</vt:i4>
      </vt:variant>
      <vt:variant>
        <vt:i4>0</vt:i4>
      </vt:variant>
      <vt:variant>
        <vt:i4>5</vt:i4>
      </vt:variant>
      <vt:variant>
        <vt:lpwstr>http://research-information.bristol.ac.uk/en/publications/star-support-and-treatment-after-joint-replacement-statistical-analysis-plan(af2c669b-7b44-4435-8c33-a105303af792).html</vt:lpwstr>
      </vt:variant>
      <vt:variant>
        <vt:lpwstr/>
      </vt:variant>
      <vt:variant>
        <vt:i4>5963852</vt:i4>
      </vt:variant>
      <vt:variant>
        <vt:i4>1995</vt:i4>
      </vt:variant>
      <vt:variant>
        <vt:i4>0</vt:i4>
      </vt:variant>
      <vt:variant>
        <vt:i4>5</vt:i4>
      </vt:variant>
      <vt:variant>
        <vt:lpwstr>https://doi.org/10.1002/acr.24516</vt:lpwstr>
      </vt:variant>
      <vt:variant>
        <vt:lpwstr/>
      </vt:variant>
      <vt:variant>
        <vt:i4>3997806</vt:i4>
      </vt:variant>
      <vt:variant>
        <vt:i4>1992</vt:i4>
      </vt:variant>
      <vt:variant>
        <vt:i4>0</vt:i4>
      </vt:variant>
      <vt:variant>
        <vt:i4>5</vt:i4>
      </vt:variant>
      <vt:variant>
        <vt:lpwstr>https://clinicaltrials.gov/show/NCT02211534</vt:lpwstr>
      </vt:variant>
      <vt:variant>
        <vt:lpwstr/>
      </vt:variant>
      <vt:variant>
        <vt:i4>3997811</vt:i4>
      </vt:variant>
      <vt:variant>
        <vt:i4>1989</vt:i4>
      </vt:variant>
      <vt:variant>
        <vt:i4>0</vt:i4>
      </vt:variant>
      <vt:variant>
        <vt:i4>5</vt:i4>
      </vt:variant>
      <vt:variant>
        <vt:lpwstr>https://clinicaltrialsgov/show/NCT04100707</vt:lpwstr>
      </vt:variant>
      <vt:variant>
        <vt:lpwstr/>
      </vt:variant>
      <vt:variant>
        <vt:i4>3539053</vt:i4>
      </vt:variant>
      <vt:variant>
        <vt:i4>1986</vt:i4>
      </vt:variant>
      <vt:variant>
        <vt:i4>0</vt:i4>
      </vt:variant>
      <vt:variant>
        <vt:i4>5</vt:i4>
      </vt:variant>
      <vt:variant>
        <vt:lpwstr>https://clinicaltrials.gov/show/NCT02931435</vt:lpwstr>
      </vt:variant>
      <vt:variant>
        <vt:lpwstr/>
      </vt:variant>
      <vt:variant>
        <vt:i4>3145837</vt:i4>
      </vt:variant>
      <vt:variant>
        <vt:i4>1983</vt:i4>
      </vt:variant>
      <vt:variant>
        <vt:i4>0</vt:i4>
      </vt:variant>
      <vt:variant>
        <vt:i4>5</vt:i4>
      </vt:variant>
      <vt:variant>
        <vt:lpwstr>https://clinicaltrials.gov/show/NCT03973177</vt:lpwstr>
      </vt:variant>
      <vt:variant>
        <vt:lpwstr/>
      </vt:variant>
      <vt:variant>
        <vt:i4>3539040</vt:i4>
      </vt:variant>
      <vt:variant>
        <vt:i4>1980</vt:i4>
      </vt:variant>
      <vt:variant>
        <vt:i4>0</vt:i4>
      </vt:variant>
      <vt:variant>
        <vt:i4>5</vt:i4>
      </vt:variant>
      <vt:variant>
        <vt:lpwstr>https://clinicaltrials.gov/show/NCT03825965</vt:lpwstr>
      </vt:variant>
      <vt:variant>
        <vt:lpwstr/>
      </vt:variant>
      <vt:variant>
        <vt:i4>6815833</vt:i4>
      </vt:variant>
      <vt:variant>
        <vt:i4>1977</vt:i4>
      </vt:variant>
      <vt:variant>
        <vt:i4>0</vt:i4>
      </vt:variant>
      <vt:variant>
        <vt:i4>5</vt:i4>
      </vt:variant>
      <vt:variant>
        <vt:lpwstr>http://www.crd.york.ac.uk/PROSPERO/display_record.asp?ID=CRD42015015957</vt:lpwstr>
      </vt:variant>
      <vt:variant>
        <vt:lpwstr/>
      </vt:variant>
      <vt:variant>
        <vt:i4>852063</vt:i4>
      </vt:variant>
      <vt:variant>
        <vt:i4>1974</vt:i4>
      </vt:variant>
      <vt:variant>
        <vt:i4>0</vt:i4>
      </vt:variant>
      <vt:variant>
        <vt:i4>5</vt:i4>
      </vt:variant>
      <vt:variant>
        <vt:lpwstr>www.cochrane-handbook.org</vt:lpwstr>
      </vt:variant>
      <vt:variant>
        <vt:lpwstr/>
      </vt:variant>
      <vt:variant>
        <vt:i4>6357076</vt:i4>
      </vt:variant>
      <vt:variant>
        <vt:i4>1971</vt:i4>
      </vt:variant>
      <vt:variant>
        <vt:i4>0</vt:i4>
      </vt:variant>
      <vt:variant>
        <vt:i4>5</vt:i4>
      </vt:variant>
      <vt:variant>
        <vt:lpwstr>http://www.crd.york.ac.uk/PROSPERO/display_record.asp?ID=CRD42017041382</vt:lpwstr>
      </vt:variant>
      <vt:variant>
        <vt:lpwstr/>
      </vt:variant>
      <vt:variant>
        <vt:i4>1900641</vt:i4>
      </vt:variant>
      <vt:variant>
        <vt:i4>1968</vt:i4>
      </vt:variant>
      <vt:variant>
        <vt:i4>0</vt:i4>
      </vt:variant>
      <vt:variant>
        <vt:i4>5</vt:i4>
      </vt:variant>
      <vt:variant>
        <vt:lpwstr>http://www.ohri.ca/programs/clinical_epidemiology/oxford.asp</vt:lpwstr>
      </vt:variant>
      <vt:variant>
        <vt:lpwstr/>
      </vt:variant>
      <vt:variant>
        <vt:i4>7209045</vt:i4>
      </vt:variant>
      <vt:variant>
        <vt:i4>1965</vt:i4>
      </vt:variant>
      <vt:variant>
        <vt:i4>0</vt:i4>
      </vt:variant>
      <vt:variant>
        <vt:i4>5</vt:i4>
      </vt:variant>
      <vt:variant>
        <vt:lpwstr>http://www.crd.york.ac.uk/PROSPERO/display_record.asp?ID=CRD42016041374</vt:lpwstr>
      </vt:variant>
      <vt:variant>
        <vt:lpwstr/>
      </vt:variant>
      <vt:variant>
        <vt:i4>393223</vt:i4>
      </vt:variant>
      <vt:variant>
        <vt:i4>1962</vt:i4>
      </vt:variant>
      <vt:variant>
        <vt:i4>0</vt:i4>
      </vt:variant>
      <vt:variant>
        <vt:i4>5</vt:i4>
      </vt:variant>
      <vt:variant>
        <vt:lpwstr>https://www.britishpainsociety.org/static/uploads/resources/files/members_articles_npa_2012_1.pdf</vt:lpwstr>
      </vt:variant>
      <vt:variant>
        <vt:lpwstr/>
      </vt:variant>
      <vt:variant>
        <vt:i4>5832785</vt:i4>
      </vt:variant>
      <vt:variant>
        <vt:i4>1957</vt:i4>
      </vt:variant>
      <vt:variant>
        <vt:i4>0</vt:i4>
      </vt:variant>
      <vt:variant>
        <vt:i4>5</vt:i4>
      </vt:variant>
      <vt:variant>
        <vt:lpwstr>https://research-information.bris.ac.uk/admin/editor/dk/atira/pure/api/shared/model/researchoutput/editor/othercontributioneditor.xhtml?id=242072533</vt:lpwstr>
      </vt:variant>
      <vt:variant>
        <vt:lpwstr/>
      </vt:variant>
      <vt:variant>
        <vt:i4>7864425</vt:i4>
      </vt:variant>
      <vt:variant>
        <vt:i4>1954</vt:i4>
      </vt:variant>
      <vt:variant>
        <vt:i4>0</vt:i4>
      </vt:variant>
      <vt:variant>
        <vt:i4>5</vt:i4>
      </vt:variant>
      <vt:variant>
        <vt:lpwstr>http://research-information.bristol.ac.uk/en/publications/star-support-and-treatment-after-joint-replacement-statistical-analysis-plan(af2c669b-7b44-4435-8c33-a105303af792).html)</vt:lpwstr>
      </vt:variant>
      <vt:variant>
        <vt:lpwstr/>
      </vt:variant>
      <vt:variant>
        <vt:i4>5963852</vt:i4>
      </vt:variant>
      <vt:variant>
        <vt:i4>1951</vt:i4>
      </vt:variant>
      <vt:variant>
        <vt:i4>0</vt:i4>
      </vt:variant>
      <vt:variant>
        <vt:i4>5</vt:i4>
      </vt:variant>
      <vt:variant>
        <vt:lpwstr>https://doi.org/10.1002/acr.24516</vt:lpwstr>
      </vt:variant>
      <vt:variant>
        <vt:lpwstr/>
      </vt:variant>
      <vt:variant>
        <vt:i4>3932256</vt:i4>
      </vt:variant>
      <vt:variant>
        <vt:i4>1948</vt:i4>
      </vt:variant>
      <vt:variant>
        <vt:i4>0</vt:i4>
      </vt:variant>
      <vt:variant>
        <vt:i4>5</vt:i4>
      </vt:variant>
      <vt:variant>
        <vt:lpwstr>https://trialsjournal.biomedcentral.com/articles/10.1186/s13063-017-2391-8</vt:lpwstr>
      </vt:variant>
      <vt:variant>
        <vt:lpwstr/>
      </vt:variant>
      <vt:variant>
        <vt:i4>1114136</vt:i4>
      </vt:variant>
      <vt:variant>
        <vt:i4>1945</vt:i4>
      </vt:variant>
      <vt:variant>
        <vt:i4>0</vt:i4>
      </vt:variant>
      <vt:variant>
        <vt:i4>5</vt:i4>
      </vt:variant>
      <vt:variant>
        <vt:lpwstr>https://bmjopen.bmj.com/content/8/2/e020368.long</vt:lpwstr>
      </vt:variant>
      <vt:variant>
        <vt:lpwstr/>
      </vt:variant>
      <vt:variant>
        <vt:i4>6422647</vt:i4>
      </vt:variant>
      <vt:variant>
        <vt:i4>1942</vt:i4>
      </vt:variant>
      <vt:variant>
        <vt:i4>0</vt:i4>
      </vt:variant>
      <vt:variant>
        <vt:i4>5</vt:i4>
      </vt:variant>
      <vt:variant>
        <vt:lpwstr>https://bjssjournals.onlinelibrary.wiley.com/doi/full/10.1002/bjs.10601</vt:lpwstr>
      </vt:variant>
      <vt:variant>
        <vt:lpwstr/>
      </vt:variant>
      <vt:variant>
        <vt:i4>5046300</vt:i4>
      </vt:variant>
      <vt:variant>
        <vt:i4>1939</vt:i4>
      </vt:variant>
      <vt:variant>
        <vt:i4>0</vt:i4>
      </vt:variant>
      <vt:variant>
        <vt:i4>5</vt:i4>
      </vt:variant>
      <vt:variant>
        <vt:lpwstr>https://bmjopen.bmj.com/content/7/11/e018105.long</vt:lpwstr>
      </vt:variant>
      <vt:variant>
        <vt:lpwstr/>
      </vt:variant>
      <vt:variant>
        <vt:i4>6357038</vt:i4>
      </vt:variant>
      <vt:variant>
        <vt:i4>1936</vt:i4>
      </vt:variant>
      <vt:variant>
        <vt:i4>0</vt:i4>
      </vt:variant>
      <vt:variant>
        <vt:i4>5</vt:i4>
      </vt:variant>
      <vt:variant>
        <vt:lpwstr>https://online.boneandjoint.org.uk/doi/full/10.1302/2058-5241.3.180004</vt:lpwstr>
      </vt:variant>
      <vt:variant>
        <vt:lpwstr/>
      </vt:variant>
      <vt:variant>
        <vt:i4>3997799</vt:i4>
      </vt:variant>
      <vt:variant>
        <vt:i4>1933</vt:i4>
      </vt:variant>
      <vt:variant>
        <vt:i4>0</vt:i4>
      </vt:variant>
      <vt:variant>
        <vt:i4>5</vt:i4>
      </vt:variant>
      <vt:variant>
        <vt:lpwstr>https://trialsjournal.biomedcentral.com/articles/10.1186/s13063-018-2516-8</vt:lpwstr>
      </vt:variant>
      <vt:variant>
        <vt:lpwstr/>
      </vt:variant>
      <vt:variant>
        <vt:i4>3014698</vt:i4>
      </vt:variant>
      <vt:variant>
        <vt:i4>1930</vt:i4>
      </vt:variant>
      <vt:variant>
        <vt:i4>0</vt:i4>
      </vt:variant>
      <vt:variant>
        <vt:i4>5</vt:i4>
      </vt:variant>
      <vt:variant>
        <vt:lpwstr>https://bmcmusculoskeletdisord.biomedcentral.com/articles/10.1186/s12891-018-2270-9</vt:lpwstr>
      </vt:variant>
      <vt:variant>
        <vt:lpwstr/>
      </vt:variant>
      <vt:variant>
        <vt:i4>5439563</vt:i4>
      </vt:variant>
      <vt:variant>
        <vt:i4>1927</vt:i4>
      </vt:variant>
      <vt:variant>
        <vt:i4>0</vt:i4>
      </vt:variant>
      <vt:variant>
        <vt:i4>5</vt:i4>
      </vt:variant>
      <vt:variant>
        <vt:lpwstr>https://doi.org/10.1111/hex.13098</vt:lpwstr>
      </vt:variant>
      <vt:variant>
        <vt:lpwstr/>
      </vt:variant>
      <vt:variant>
        <vt:i4>5832780</vt:i4>
      </vt:variant>
      <vt:variant>
        <vt:i4>1924</vt:i4>
      </vt:variant>
      <vt:variant>
        <vt:i4>0</vt:i4>
      </vt:variant>
      <vt:variant>
        <vt:i4>5</vt:i4>
      </vt:variant>
      <vt:variant>
        <vt:lpwstr>https://doi.org/10.1002/acr.24534</vt:lpwstr>
      </vt:variant>
      <vt:variant>
        <vt:lpwstr/>
      </vt:variant>
      <vt:variant>
        <vt:i4>4325443</vt:i4>
      </vt:variant>
      <vt:variant>
        <vt:i4>1921</vt:i4>
      </vt:variant>
      <vt:variant>
        <vt:i4>0</vt:i4>
      </vt:variant>
      <vt:variant>
        <vt:i4>5</vt:i4>
      </vt:variant>
      <vt:variant>
        <vt:lpwstr>https://doi.org/10.1371/journal.pone.0261850</vt:lpwstr>
      </vt:variant>
      <vt:variant>
        <vt:lpwstr/>
      </vt:variant>
      <vt:variant>
        <vt:i4>7405692</vt:i4>
      </vt:variant>
      <vt:variant>
        <vt:i4>1918</vt:i4>
      </vt:variant>
      <vt:variant>
        <vt:i4>0</vt:i4>
      </vt:variant>
      <vt:variant>
        <vt:i4>5</vt:i4>
      </vt:variant>
      <vt:variant>
        <vt:lpwstr>https://www.sciencedirect.com/science/article/pii/S2665913121000029?via%3Dihub</vt:lpwstr>
      </vt:variant>
      <vt:variant>
        <vt:lpwstr/>
      </vt:variant>
      <vt:variant>
        <vt:i4>6160395</vt:i4>
      </vt:variant>
      <vt:variant>
        <vt:i4>1915</vt:i4>
      </vt:variant>
      <vt:variant>
        <vt:i4>0</vt:i4>
      </vt:variant>
      <vt:variant>
        <vt:i4>5</vt:i4>
      </vt:variant>
      <vt:variant>
        <vt:lpwstr>https://bmjopen.bmj.com/content/10/1/e033248.long</vt:lpwstr>
      </vt:variant>
      <vt:variant>
        <vt:lpwstr/>
      </vt:variant>
      <vt:variant>
        <vt:i4>1441818</vt:i4>
      </vt:variant>
      <vt:variant>
        <vt:i4>1912</vt:i4>
      </vt:variant>
      <vt:variant>
        <vt:i4>0</vt:i4>
      </vt:variant>
      <vt:variant>
        <vt:i4>5</vt:i4>
      </vt:variant>
      <vt:variant>
        <vt:lpwstr>https://bmjopen.bmj.com/content/9/9/e028093.long</vt:lpwstr>
      </vt:variant>
      <vt:variant>
        <vt:lpwstr/>
      </vt:variant>
      <vt:variant>
        <vt:i4>3604591</vt:i4>
      </vt:variant>
      <vt:variant>
        <vt:i4>1909</vt:i4>
      </vt:variant>
      <vt:variant>
        <vt:i4>0</vt:i4>
      </vt:variant>
      <vt:variant>
        <vt:i4>5</vt:i4>
      </vt:variant>
      <vt:variant>
        <vt:lpwstr>https://trialsjournal.biomedcentral.com/articles/10.1186/s13063-019-3296-5</vt:lpwstr>
      </vt:variant>
      <vt:variant>
        <vt:lpwstr/>
      </vt:variant>
      <vt:variant>
        <vt:i4>1507378</vt:i4>
      </vt:variant>
      <vt:variant>
        <vt:i4>1193</vt:i4>
      </vt:variant>
      <vt:variant>
        <vt:i4>0</vt:i4>
      </vt:variant>
      <vt:variant>
        <vt:i4>5</vt:i4>
      </vt:variant>
      <vt:variant>
        <vt:lpwstr/>
      </vt:variant>
      <vt:variant>
        <vt:lpwstr>_Toc103154551</vt:lpwstr>
      </vt:variant>
      <vt:variant>
        <vt:i4>1507378</vt:i4>
      </vt:variant>
      <vt:variant>
        <vt:i4>1187</vt:i4>
      </vt:variant>
      <vt:variant>
        <vt:i4>0</vt:i4>
      </vt:variant>
      <vt:variant>
        <vt:i4>5</vt:i4>
      </vt:variant>
      <vt:variant>
        <vt:lpwstr/>
      </vt:variant>
      <vt:variant>
        <vt:lpwstr>_Toc103154550</vt:lpwstr>
      </vt:variant>
      <vt:variant>
        <vt:i4>5308532</vt:i4>
      </vt:variant>
      <vt:variant>
        <vt:i4>1178</vt:i4>
      </vt:variant>
      <vt:variant>
        <vt:i4>0</vt:i4>
      </vt:variant>
      <vt:variant>
        <vt:i4>5</vt:i4>
      </vt:variant>
      <vt:variant>
        <vt:lpwstr>https://uob.sharepoint.com/teams/grp-STARFinalReportv2/Shared Documents/General/2022 STAR report revisions/REVISED 10th May/10th May STAR FINAL REPORT Revised DRAFT 4th May.docx</vt:lpwstr>
      </vt:variant>
      <vt:variant>
        <vt:lpwstr>_Toc103154549</vt:lpwstr>
      </vt:variant>
      <vt:variant>
        <vt:i4>1441842</vt:i4>
      </vt:variant>
      <vt:variant>
        <vt:i4>1172</vt:i4>
      </vt:variant>
      <vt:variant>
        <vt:i4>0</vt:i4>
      </vt:variant>
      <vt:variant>
        <vt:i4>5</vt:i4>
      </vt:variant>
      <vt:variant>
        <vt:lpwstr/>
      </vt:variant>
      <vt:variant>
        <vt:lpwstr>_Toc103154548</vt:lpwstr>
      </vt:variant>
      <vt:variant>
        <vt:i4>1441842</vt:i4>
      </vt:variant>
      <vt:variant>
        <vt:i4>1166</vt:i4>
      </vt:variant>
      <vt:variant>
        <vt:i4>0</vt:i4>
      </vt:variant>
      <vt:variant>
        <vt:i4>5</vt:i4>
      </vt:variant>
      <vt:variant>
        <vt:lpwstr/>
      </vt:variant>
      <vt:variant>
        <vt:lpwstr>_Toc103154547</vt:lpwstr>
      </vt:variant>
      <vt:variant>
        <vt:i4>1441842</vt:i4>
      </vt:variant>
      <vt:variant>
        <vt:i4>1157</vt:i4>
      </vt:variant>
      <vt:variant>
        <vt:i4>0</vt:i4>
      </vt:variant>
      <vt:variant>
        <vt:i4>5</vt:i4>
      </vt:variant>
      <vt:variant>
        <vt:lpwstr/>
      </vt:variant>
      <vt:variant>
        <vt:lpwstr>_Toc103154546</vt:lpwstr>
      </vt:variant>
      <vt:variant>
        <vt:i4>1245243</vt:i4>
      </vt:variant>
      <vt:variant>
        <vt:i4>1148</vt:i4>
      </vt:variant>
      <vt:variant>
        <vt:i4>0</vt:i4>
      </vt:variant>
      <vt:variant>
        <vt:i4>5</vt:i4>
      </vt:variant>
      <vt:variant>
        <vt:lpwstr/>
      </vt:variant>
      <vt:variant>
        <vt:lpwstr>_Toc103094005</vt:lpwstr>
      </vt:variant>
      <vt:variant>
        <vt:i4>1245243</vt:i4>
      </vt:variant>
      <vt:variant>
        <vt:i4>1142</vt:i4>
      </vt:variant>
      <vt:variant>
        <vt:i4>0</vt:i4>
      </vt:variant>
      <vt:variant>
        <vt:i4>5</vt:i4>
      </vt:variant>
      <vt:variant>
        <vt:lpwstr/>
      </vt:variant>
      <vt:variant>
        <vt:lpwstr>_Toc103094004</vt:lpwstr>
      </vt:variant>
      <vt:variant>
        <vt:i4>1245243</vt:i4>
      </vt:variant>
      <vt:variant>
        <vt:i4>1136</vt:i4>
      </vt:variant>
      <vt:variant>
        <vt:i4>0</vt:i4>
      </vt:variant>
      <vt:variant>
        <vt:i4>5</vt:i4>
      </vt:variant>
      <vt:variant>
        <vt:lpwstr/>
      </vt:variant>
      <vt:variant>
        <vt:lpwstr>_Toc103094003</vt:lpwstr>
      </vt:variant>
      <vt:variant>
        <vt:i4>1245243</vt:i4>
      </vt:variant>
      <vt:variant>
        <vt:i4>1130</vt:i4>
      </vt:variant>
      <vt:variant>
        <vt:i4>0</vt:i4>
      </vt:variant>
      <vt:variant>
        <vt:i4>5</vt:i4>
      </vt:variant>
      <vt:variant>
        <vt:lpwstr/>
      </vt:variant>
      <vt:variant>
        <vt:lpwstr>_Toc103094002</vt:lpwstr>
      </vt:variant>
      <vt:variant>
        <vt:i4>1245243</vt:i4>
      </vt:variant>
      <vt:variant>
        <vt:i4>1124</vt:i4>
      </vt:variant>
      <vt:variant>
        <vt:i4>0</vt:i4>
      </vt:variant>
      <vt:variant>
        <vt:i4>5</vt:i4>
      </vt:variant>
      <vt:variant>
        <vt:lpwstr/>
      </vt:variant>
      <vt:variant>
        <vt:lpwstr>_Toc103094001</vt:lpwstr>
      </vt:variant>
      <vt:variant>
        <vt:i4>1245243</vt:i4>
      </vt:variant>
      <vt:variant>
        <vt:i4>1118</vt:i4>
      </vt:variant>
      <vt:variant>
        <vt:i4>0</vt:i4>
      </vt:variant>
      <vt:variant>
        <vt:i4>5</vt:i4>
      </vt:variant>
      <vt:variant>
        <vt:lpwstr/>
      </vt:variant>
      <vt:variant>
        <vt:lpwstr>_Toc103094000</vt:lpwstr>
      </vt:variant>
      <vt:variant>
        <vt:i4>1900594</vt:i4>
      </vt:variant>
      <vt:variant>
        <vt:i4>1112</vt:i4>
      </vt:variant>
      <vt:variant>
        <vt:i4>0</vt:i4>
      </vt:variant>
      <vt:variant>
        <vt:i4>5</vt:i4>
      </vt:variant>
      <vt:variant>
        <vt:lpwstr/>
      </vt:variant>
      <vt:variant>
        <vt:lpwstr>_Toc103093999</vt:lpwstr>
      </vt:variant>
      <vt:variant>
        <vt:i4>1900594</vt:i4>
      </vt:variant>
      <vt:variant>
        <vt:i4>1106</vt:i4>
      </vt:variant>
      <vt:variant>
        <vt:i4>0</vt:i4>
      </vt:variant>
      <vt:variant>
        <vt:i4>5</vt:i4>
      </vt:variant>
      <vt:variant>
        <vt:lpwstr/>
      </vt:variant>
      <vt:variant>
        <vt:lpwstr>_Toc103093998</vt:lpwstr>
      </vt:variant>
      <vt:variant>
        <vt:i4>1900594</vt:i4>
      </vt:variant>
      <vt:variant>
        <vt:i4>1100</vt:i4>
      </vt:variant>
      <vt:variant>
        <vt:i4>0</vt:i4>
      </vt:variant>
      <vt:variant>
        <vt:i4>5</vt:i4>
      </vt:variant>
      <vt:variant>
        <vt:lpwstr/>
      </vt:variant>
      <vt:variant>
        <vt:lpwstr>_Toc103093997</vt:lpwstr>
      </vt:variant>
      <vt:variant>
        <vt:i4>1900594</vt:i4>
      </vt:variant>
      <vt:variant>
        <vt:i4>1094</vt:i4>
      </vt:variant>
      <vt:variant>
        <vt:i4>0</vt:i4>
      </vt:variant>
      <vt:variant>
        <vt:i4>5</vt:i4>
      </vt:variant>
      <vt:variant>
        <vt:lpwstr/>
      </vt:variant>
      <vt:variant>
        <vt:lpwstr>_Toc103093996</vt:lpwstr>
      </vt:variant>
      <vt:variant>
        <vt:i4>1900594</vt:i4>
      </vt:variant>
      <vt:variant>
        <vt:i4>1088</vt:i4>
      </vt:variant>
      <vt:variant>
        <vt:i4>0</vt:i4>
      </vt:variant>
      <vt:variant>
        <vt:i4>5</vt:i4>
      </vt:variant>
      <vt:variant>
        <vt:lpwstr/>
      </vt:variant>
      <vt:variant>
        <vt:lpwstr>_Toc103093995</vt:lpwstr>
      </vt:variant>
      <vt:variant>
        <vt:i4>1900594</vt:i4>
      </vt:variant>
      <vt:variant>
        <vt:i4>1082</vt:i4>
      </vt:variant>
      <vt:variant>
        <vt:i4>0</vt:i4>
      </vt:variant>
      <vt:variant>
        <vt:i4>5</vt:i4>
      </vt:variant>
      <vt:variant>
        <vt:lpwstr/>
      </vt:variant>
      <vt:variant>
        <vt:lpwstr>_Toc103093994</vt:lpwstr>
      </vt:variant>
      <vt:variant>
        <vt:i4>1900594</vt:i4>
      </vt:variant>
      <vt:variant>
        <vt:i4>1076</vt:i4>
      </vt:variant>
      <vt:variant>
        <vt:i4>0</vt:i4>
      </vt:variant>
      <vt:variant>
        <vt:i4>5</vt:i4>
      </vt:variant>
      <vt:variant>
        <vt:lpwstr/>
      </vt:variant>
      <vt:variant>
        <vt:lpwstr>_Toc103093993</vt:lpwstr>
      </vt:variant>
      <vt:variant>
        <vt:i4>5898356</vt:i4>
      </vt:variant>
      <vt:variant>
        <vt:i4>1070</vt:i4>
      </vt:variant>
      <vt:variant>
        <vt:i4>0</vt:i4>
      </vt:variant>
      <vt:variant>
        <vt:i4>5</vt:i4>
      </vt:variant>
      <vt:variant>
        <vt:lpwstr>https://uob.sharepoint.com/teams/grp-STARFinalReportv2/Shared Documents/General/2022 STAR report revisions/REVISED 10th May/10th May STAR FINAL REPORT Revised DRAFT 4th May.docx</vt:lpwstr>
      </vt:variant>
      <vt:variant>
        <vt:lpwstr>_Toc103093992</vt:lpwstr>
      </vt:variant>
      <vt:variant>
        <vt:i4>5898356</vt:i4>
      </vt:variant>
      <vt:variant>
        <vt:i4>1064</vt:i4>
      </vt:variant>
      <vt:variant>
        <vt:i4>0</vt:i4>
      </vt:variant>
      <vt:variant>
        <vt:i4>5</vt:i4>
      </vt:variant>
      <vt:variant>
        <vt:lpwstr>https://uob.sharepoint.com/teams/grp-STARFinalReportv2/Shared Documents/General/2022 STAR report revisions/REVISED 10th May/10th May STAR FINAL REPORT Revised DRAFT 4th May.docx</vt:lpwstr>
      </vt:variant>
      <vt:variant>
        <vt:lpwstr>_Toc103093991</vt:lpwstr>
      </vt:variant>
      <vt:variant>
        <vt:i4>5898356</vt:i4>
      </vt:variant>
      <vt:variant>
        <vt:i4>1058</vt:i4>
      </vt:variant>
      <vt:variant>
        <vt:i4>0</vt:i4>
      </vt:variant>
      <vt:variant>
        <vt:i4>5</vt:i4>
      </vt:variant>
      <vt:variant>
        <vt:lpwstr>https://uob.sharepoint.com/teams/grp-STARFinalReportv2/Shared Documents/General/2022 STAR report revisions/REVISED 10th May/10th May STAR FINAL REPORT Revised DRAFT 4th May.docx</vt:lpwstr>
      </vt:variant>
      <vt:variant>
        <vt:lpwstr>_Toc103093990</vt:lpwstr>
      </vt:variant>
      <vt:variant>
        <vt:i4>5963892</vt:i4>
      </vt:variant>
      <vt:variant>
        <vt:i4>1052</vt:i4>
      </vt:variant>
      <vt:variant>
        <vt:i4>0</vt:i4>
      </vt:variant>
      <vt:variant>
        <vt:i4>5</vt:i4>
      </vt:variant>
      <vt:variant>
        <vt:lpwstr>https://uob.sharepoint.com/teams/grp-STARFinalReportv2/Shared Documents/General/2022 STAR report revisions/REVISED 10th May/10th May STAR FINAL REPORT Revised DRAFT 4th May.docx</vt:lpwstr>
      </vt:variant>
      <vt:variant>
        <vt:lpwstr>_Toc103093989</vt:lpwstr>
      </vt:variant>
      <vt:variant>
        <vt:i4>1835058</vt:i4>
      </vt:variant>
      <vt:variant>
        <vt:i4>1046</vt:i4>
      </vt:variant>
      <vt:variant>
        <vt:i4>0</vt:i4>
      </vt:variant>
      <vt:variant>
        <vt:i4>5</vt:i4>
      </vt:variant>
      <vt:variant>
        <vt:lpwstr/>
      </vt:variant>
      <vt:variant>
        <vt:lpwstr>_Toc103093988</vt:lpwstr>
      </vt:variant>
      <vt:variant>
        <vt:i4>1835058</vt:i4>
      </vt:variant>
      <vt:variant>
        <vt:i4>1040</vt:i4>
      </vt:variant>
      <vt:variant>
        <vt:i4>0</vt:i4>
      </vt:variant>
      <vt:variant>
        <vt:i4>5</vt:i4>
      </vt:variant>
      <vt:variant>
        <vt:lpwstr/>
      </vt:variant>
      <vt:variant>
        <vt:lpwstr>_Toc103093987</vt:lpwstr>
      </vt:variant>
      <vt:variant>
        <vt:i4>1835058</vt:i4>
      </vt:variant>
      <vt:variant>
        <vt:i4>1034</vt:i4>
      </vt:variant>
      <vt:variant>
        <vt:i4>0</vt:i4>
      </vt:variant>
      <vt:variant>
        <vt:i4>5</vt:i4>
      </vt:variant>
      <vt:variant>
        <vt:lpwstr/>
      </vt:variant>
      <vt:variant>
        <vt:lpwstr>_Toc103093986</vt:lpwstr>
      </vt:variant>
      <vt:variant>
        <vt:i4>1835058</vt:i4>
      </vt:variant>
      <vt:variant>
        <vt:i4>1028</vt:i4>
      </vt:variant>
      <vt:variant>
        <vt:i4>0</vt:i4>
      </vt:variant>
      <vt:variant>
        <vt:i4>5</vt:i4>
      </vt:variant>
      <vt:variant>
        <vt:lpwstr/>
      </vt:variant>
      <vt:variant>
        <vt:lpwstr>_Toc103093985</vt:lpwstr>
      </vt:variant>
      <vt:variant>
        <vt:i4>1835058</vt:i4>
      </vt:variant>
      <vt:variant>
        <vt:i4>1022</vt:i4>
      </vt:variant>
      <vt:variant>
        <vt:i4>0</vt:i4>
      </vt:variant>
      <vt:variant>
        <vt:i4>5</vt:i4>
      </vt:variant>
      <vt:variant>
        <vt:lpwstr/>
      </vt:variant>
      <vt:variant>
        <vt:lpwstr>_Toc103093984</vt:lpwstr>
      </vt:variant>
      <vt:variant>
        <vt:i4>1835058</vt:i4>
      </vt:variant>
      <vt:variant>
        <vt:i4>1016</vt:i4>
      </vt:variant>
      <vt:variant>
        <vt:i4>0</vt:i4>
      </vt:variant>
      <vt:variant>
        <vt:i4>5</vt:i4>
      </vt:variant>
      <vt:variant>
        <vt:lpwstr/>
      </vt:variant>
      <vt:variant>
        <vt:lpwstr>_Toc103093983</vt:lpwstr>
      </vt:variant>
      <vt:variant>
        <vt:i4>1835058</vt:i4>
      </vt:variant>
      <vt:variant>
        <vt:i4>1010</vt:i4>
      </vt:variant>
      <vt:variant>
        <vt:i4>0</vt:i4>
      </vt:variant>
      <vt:variant>
        <vt:i4>5</vt:i4>
      </vt:variant>
      <vt:variant>
        <vt:lpwstr/>
      </vt:variant>
      <vt:variant>
        <vt:lpwstr>_Toc103093982</vt:lpwstr>
      </vt:variant>
      <vt:variant>
        <vt:i4>1835058</vt:i4>
      </vt:variant>
      <vt:variant>
        <vt:i4>1004</vt:i4>
      </vt:variant>
      <vt:variant>
        <vt:i4>0</vt:i4>
      </vt:variant>
      <vt:variant>
        <vt:i4>5</vt:i4>
      </vt:variant>
      <vt:variant>
        <vt:lpwstr/>
      </vt:variant>
      <vt:variant>
        <vt:lpwstr>_Toc103093981</vt:lpwstr>
      </vt:variant>
      <vt:variant>
        <vt:i4>1835058</vt:i4>
      </vt:variant>
      <vt:variant>
        <vt:i4>998</vt:i4>
      </vt:variant>
      <vt:variant>
        <vt:i4>0</vt:i4>
      </vt:variant>
      <vt:variant>
        <vt:i4>5</vt:i4>
      </vt:variant>
      <vt:variant>
        <vt:lpwstr/>
      </vt:variant>
      <vt:variant>
        <vt:lpwstr>_Toc103093980</vt:lpwstr>
      </vt:variant>
      <vt:variant>
        <vt:i4>1245234</vt:i4>
      </vt:variant>
      <vt:variant>
        <vt:i4>992</vt:i4>
      </vt:variant>
      <vt:variant>
        <vt:i4>0</vt:i4>
      </vt:variant>
      <vt:variant>
        <vt:i4>5</vt:i4>
      </vt:variant>
      <vt:variant>
        <vt:lpwstr/>
      </vt:variant>
      <vt:variant>
        <vt:lpwstr>_Toc103093979</vt:lpwstr>
      </vt:variant>
      <vt:variant>
        <vt:i4>1245234</vt:i4>
      </vt:variant>
      <vt:variant>
        <vt:i4>986</vt:i4>
      </vt:variant>
      <vt:variant>
        <vt:i4>0</vt:i4>
      </vt:variant>
      <vt:variant>
        <vt:i4>5</vt:i4>
      </vt:variant>
      <vt:variant>
        <vt:lpwstr/>
      </vt:variant>
      <vt:variant>
        <vt:lpwstr>_Toc103093978</vt:lpwstr>
      </vt:variant>
      <vt:variant>
        <vt:i4>1245234</vt:i4>
      </vt:variant>
      <vt:variant>
        <vt:i4>980</vt:i4>
      </vt:variant>
      <vt:variant>
        <vt:i4>0</vt:i4>
      </vt:variant>
      <vt:variant>
        <vt:i4>5</vt:i4>
      </vt:variant>
      <vt:variant>
        <vt:lpwstr/>
      </vt:variant>
      <vt:variant>
        <vt:lpwstr>_Toc103093977</vt:lpwstr>
      </vt:variant>
      <vt:variant>
        <vt:i4>1245234</vt:i4>
      </vt:variant>
      <vt:variant>
        <vt:i4>974</vt:i4>
      </vt:variant>
      <vt:variant>
        <vt:i4>0</vt:i4>
      </vt:variant>
      <vt:variant>
        <vt:i4>5</vt:i4>
      </vt:variant>
      <vt:variant>
        <vt:lpwstr/>
      </vt:variant>
      <vt:variant>
        <vt:lpwstr>_Toc103093976</vt:lpwstr>
      </vt:variant>
      <vt:variant>
        <vt:i4>1245234</vt:i4>
      </vt:variant>
      <vt:variant>
        <vt:i4>968</vt:i4>
      </vt:variant>
      <vt:variant>
        <vt:i4>0</vt:i4>
      </vt:variant>
      <vt:variant>
        <vt:i4>5</vt:i4>
      </vt:variant>
      <vt:variant>
        <vt:lpwstr/>
      </vt:variant>
      <vt:variant>
        <vt:lpwstr>_Toc103093975</vt:lpwstr>
      </vt:variant>
      <vt:variant>
        <vt:i4>1245234</vt:i4>
      </vt:variant>
      <vt:variant>
        <vt:i4>962</vt:i4>
      </vt:variant>
      <vt:variant>
        <vt:i4>0</vt:i4>
      </vt:variant>
      <vt:variant>
        <vt:i4>5</vt:i4>
      </vt:variant>
      <vt:variant>
        <vt:lpwstr/>
      </vt:variant>
      <vt:variant>
        <vt:lpwstr>_Toc103093974</vt:lpwstr>
      </vt:variant>
      <vt:variant>
        <vt:i4>1245234</vt:i4>
      </vt:variant>
      <vt:variant>
        <vt:i4>956</vt:i4>
      </vt:variant>
      <vt:variant>
        <vt:i4>0</vt:i4>
      </vt:variant>
      <vt:variant>
        <vt:i4>5</vt:i4>
      </vt:variant>
      <vt:variant>
        <vt:lpwstr/>
      </vt:variant>
      <vt:variant>
        <vt:lpwstr>_Toc103093973</vt:lpwstr>
      </vt:variant>
      <vt:variant>
        <vt:i4>1245234</vt:i4>
      </vt:variant>
      <vt:variant>
        <vt:i4>950</vt:i4>
      </vt:variant>
      <vt:variant>
        <vt:i4>0</vt:i4>
      </vt:variant>
      <vt:variant>
        <vt:i4>5</vt:i4>
      </vt:variant>
      <vt:variant>
        <vt:lpwstr/>
      </vt:variant>
      <vt:variant>
        <vt:lpwstr>_Toc103093972</vt:lpwstr>
      </vt:variant>
      <vt:variant>
        <vt:i4>1245234</vt:i4>
      </vt:variant>
      <vt:variant>
        <vt:i4>944</vt:i4>
      </vt:variant>
      <vt:variant>
        <vt:i4>0</vt:i4>
      </vt:variant>
      <vt:variant>
        <vt:i4>5</vt:i4>
      </vt:variant>
      <vt:variant>
        <vt:lpwstr/>
      </vt:variant>
      <vt:variant>
        <vt:lpwstr>_Toc103093971</vt:lpwstr>
      </vt:variant>
      <vt:variant>
        <vt:i4>1245234</vt:i4>
      </vt:variant>
      <vt:variant>
        <vt:i4>938</vt:i4>
      </vt:variant>
      <vt:variant>
        <vt:i4>0</vt:i4>
      </vt:variant>
      <vt:variant>
        <vt:i4>5</vt:i4>
      </vt:variant>
      <vt:variant>
        <vt:lpwstr/>
      </vt:variant>
      <vt:variant>
        <vt:lpwstr>_Toc103093970</vt:lpwstr>
      </vt:variant>
      <vt:variant>
        <vt:i4>1179698</vt:i4>
      </vt:variant>
      <vt:variant>
        <vt:i4>932</vt:i4>
      </vt:variant>
      <vt:variant>
        <vt:i4>0</vt:i4>
      </vt:variant>
      <vt:variant>
        <vt:i4>5</vt:i4>
      </vt:variant>
      <vt:variant>
        <vt:lpwstr/>
      </vt:variant>
      <vt:variant>
        <vt:lpwstr>_Toc103093969</vt:lpwstr>
      </vt:variant>
      <vt:variant>
        <vt:i4>1179698</vt:i4>
      </vt:variant>
      <vt:variant>
        <vt:i4>926</vt:i4>
      </vt:variant>
      <vt:variant>
        <vt:i4>0</vt:i4>
      </vt:variant>
      <vt:variant>
        <vt:i4>5</vt:i4>
      </vt:variant>
      <vt:variant>
        <vt:lpwstr/>
      </vt:variant>
      <vt:variant>
        <vt:lpwstr>_Toc103093968</vt:lpwstr>
      </vt:variant>
      <vt:variant>
        <vt:i4>1179698</vt:i4>
      </vt:variant>
      <vt:variant>
        <vt:i4>920</vt:i4>
      </vt:variant>
      <vt:variant>
        <vt:i4>0</vt:i4>
      </vt:variant>
      <vt:variant>
        <vt:i4>5</vt:i4>
      </vt:variant>
      <vt:variant>
        <vt:lpwstr/>
      </vt:variant>
      <vt:variant>
        <vt:lpwstr>_Toc103093967</vt:lpwstr>
      </vt:variant>
      <vt:variant>
        <vt:i4>1179698</vt:i4>
      </vt:variant>
      <vt:variant>
        <vt:i4>914</vt:i4>
      </vt:variant>
      <vt:variant>
        <vt:i4>0</vt:i4>
      </vt:variant>
      <vt:variant>
        <vt:i4>5</vt:i4>
      </vt:variant>
      <vt:variant>
        <vt:lpwstr/>
      </vt:variant>
      <vt:variant>
        <vt:lpwstr>_Toc103093966</vt:lpwstr>
      </vt:variant>
      <vt:variant>
        <vt:i4>1179698</vt:i4>
      </vt:variant>
      <vt:variant>
        <vt:i4>908</vt:i4>
      </vt:variant>
      <vt:variant>
        <vt:i4>0</vt:i4>
      </vt:variant>
      <vt:variant>
        <vt:i4>5</vt:i4>
      </vt:variant>
      <vt:variant>
        <vt:lpwstr/>
      </vt:variant>
      <vt:variant>
        <vt:lpwstr>_Toc103093965</vt:lpwstr>
      </vt:variant>
      <vt:variant>
        <vt:i4>1179698</vt:i4>
      </vt:variant>
      <vt:variant>
        <vt:i4>902</vt:i4>
      </vt:variant>
      <vt:variant>
        <vt:i4>0</vt:i4>
      </vt:variant>
      <vt:variant>
        <vt:i4>5</vt:i4>
      </vt:variant>
      <vt:variant>
        <vt:lpwstr/>
      </vt:variant>
      <vt:variant>
        <vt:lpwstr>_Toc103093964</vt:lpwstr>
      </vt:variant>
      <vt:variant>
        <vt:i4>1179698</vt:i4>
      </vt:variant>
      <vt:variant>
        <vt:i4>896</vt:i4>
      </vt:variant>
      <vt:variant>
        <vt:i4>0</vt:i4>
      </vt:variant>
      <vt:variant>
        <vt:i4>5</vt:i4>
      </vt:variant>
      <vt:variant>
        <vt:lpwstr/>
      </vt:variant>
      <vt:variant>
        <vt:lpwstr>_Toc103093963</vt:lpwstr>
      </vt:variant>
      <vt:variant>
        <vt:i4>1179698</vt:i4>
      </vt:variant>
      <vt:variant>
        <vt:i4>890</vt:i4>
      </vt:variant>
      <vt:variant>
        <vt:i4>0</vt:i4>
      </vt:variant>
      <vt:variant>
        <vt:i4>5</vt:i4>
      </vt:variant>
      <vt:variant>
        <vt:lpwstr/>
      </vt:variant>
      <vt:variant>
        <vt:lpwstr>_Toc103093962</vt:lpwstr>
      </vt:variant>
      <vt:variant>
        <vt:i4>1179698</vt:i4>
      </vt:variant>
      <vt:variant>
        <vt:i4>884</vt:i4>
      </vt:variant>
      <vt:variant>
        <vt:i4>0</vt:i4>
      </vt:variant>
      <vt:variant>
        <vt:i4>5</vt:i4>
      </vt:variant>
      <vt:variant>
        <vt:lpwstr/>
      </vt:variant>
      <vt:variant>
        <vt:lpwstr>_Toc103093961</vt:lpwstr>
      </vt:variant>
      <vt:variant>
        <vt:i4>1179698</vt:i4>
      </vt:variant>
      <vt:variant>
        <vt:i4>878</vt:i4>
      </vt:variant>
      <vt:variant>
        <vt:i4>0</vt:i4>
      </vt:variant>
      <vt:variant>
        <vt:i4>5</vt:i4>
      </vt:variant>
      <vt:variant>
        <vt:lpwstr/>
      </vt:variant>
      <vt:variant>
        <vt:lpwstr>_Toc103093960</vt:lpwstr>
      </vt:variant>
      <vt:variant>
        <vt:i4>1114162</vt:i4>
      </vt:variant>
      <vt:variant>
        <vt:i4>872</vt:i4>
      </vt:variant>
      <vt:variant>
        <vt:i4>0</vt:i4>
      </vt:variant>
      <vt:variant>
        <vt:i4>5</vt:i4>
      </vt:variant>
      <vt:variant>
        <vt:lpwstr/>
      </vt:variant>
      <vt:variant>
        <vt:lpwstr>_Toc103093959</vt:lpwstr>
      </vt:variant>
      <vt:variant>
        <vt:i4>1114162</vt:i4>
      </vt:variant>
      <vt:variant>
        <vt:i4>866</vt:i4>
      </vt:variant>
      <vt:variant>
        <vt:i4>0</vt:i4>
      </vt:variant>
      <vt:variant>
        <vt:i4>5</vt:i4>
      </vt:variant>
      <vt:variant>
        <vt:lpwstr/>
      </vt:variant>
      <vt:variant>
        <vt:lpwstr>_Toc103093958</vt:lpwstr>
      </vt:variant>
      <vt:variant>
        <vt:i4>1114162</vt:i4>
      </vt:variant>
      <vt:variant>
        <vt:i4>860</vt:i4>
      </vt:variant>
      <vt:variant>
        <vt:i4>0</vt:i4>
      </vt:variant>
      <vt:variant>
        <vt:i4>5</vt:i4>
      </vt:variant>
      <vt:variant>
        <vt:lpwstr/>
      </vt:variant>
      <vt:variant>
        <vt:lpwstr>_Toc103093957</vt:lpwstr>
      </vt:variant>
      <vt:variant>
        <vt:i4>1114162</vt:i4>
      </vt:variant>
      <vt:variant>
        <vt:i4>854</vt:i4>
      </vt:variant>
      <vt:variant>
        <vt:i4>0</vt:i4>
      </vt:variant>
      <vt:variant>
        <vt:i4>5</vt:i4>
      </vt:variant>
      <vt:variant>
        <vt:lpwstr/>
      </vt:variant>
      <vt:variant>
        <vt:lpwstr>_Toc103093956</vt:lpwstr>
      </vt:variant>
      <vt:variant>
        <vt:i4>1114162</vt:i4>
      </vt:variant>
      <vt:variant>
        <vt:i4>848</vt:i4>
      </vt:variant>
      <vt:variant>
        <vt:i4>0</vt:i4>
      </vt:variant>
      <vt:variant>
        <vt:i4>5</vt:i4>
      </vt:variant>
      <vt:variant>
        <vt:lpwstr/>
      </vt:variant>
      <vt:variant>
        <vt:lpwstr>_Toc103093955</vt:lpwstr>
      </vt:variant>
      <vt:variant>
        <vt:i4>1114162</vt:i4>
      </vt:variant>
      <vt:variant>
        <vt:i4>842</vt:i4>
      </vt:variant>
      <vt:variant>
        <vt:i4>0</vt:i4>
      </vt:variant>
      <vt:variant>
        <vt:i4>5</vt:i4>
      </vt:variant>
      <vt:variant>
        <vt:lpwstr/>
      </vt:variant>
      <vt:variant>
        <vt:lpwstr>_Toc103093954</vt:lpwstr>
      </vt:variant>
      <vt:variant>
        <vt:i4>1114162</vt:i4>
      </vt:variant>
      <vt:variant>
        <vt:i4>836</vt:i4>
      </vt:variant>
      <vt:variant>
        <vt:i4>0</vt:i4>
      </vt:variant>
      <vt:variant>
        <vt:i4>5</vt:i4>
      </vt:variant>
      <vt:variant>
        <vt:lpwstr/>
      </vt:variant>
      <vt:variant>
        <vt:lpwstr>_Toc103093953</vt:lpwstr>
      </vt:variant>
      <vt:variant>
        <vt:i4>1114162</vt:i4>
      </vt:variant>
      <vt:variant>
        <vt:i4>830</vt:i4>
      </vt:variant>
      <vt:variant>
        <vt:i4>0</vt:i4>
      </vt:variant>
      <vt:variant>
        <vt:i4>5</vt:i4>
      </vt:variant>
      <vt:variant>
        <vt:lpwstr/>
      </vt:variant>
      <vt:variant>
        <vt:lpwstr>_Toc103093952</vt:lpwstr>
      </vt:variant>
      <vt:variant>
        <vt:i4>1114162</vt:i4>
      </vt:variant>
      <vt:variant>
        <vt:i4>824</vt:i4>
      </vt:variant>
      <vt:variant>
        <vt:i4>0</vt:i4>
      </vt:variant>
      <vt:variant>
        <vt:i4>5</vt:i4>
      </vt:variant>
      <vt:variant>
        <vt:lpwstr/>
      </vt:variant>
      <vt:variant>
        <vt:lpwstr>_Toc103093951</vt:lpwstr>
      </vt:variant>
      <vt:variant>
        <vt:i4>1114162</vt:i4>
      </vt:variant>
      <vt:variant>
        <vt:i4>818</vt:i4>
      </vt:variant>
      <vt:variant>
        <vt:i4>0</vt:i4>
      </vt:variant>
      <vt:variant>
        <vt:i4>5</vt:i4>
      </vt:variant>
      <vt:variant>
        <vt:lpwstr/>
      </vt:variant>
      <vt:variant>
        <vt:lpwstr>_Toc103093950</vt:lpwstr>
      </vt:variant>
      <vt:variant>
        <vt:i4>1048626</vt:i4>
      </vt:variant>
      <vt:variant>
        <vt:i4>812</vt:i4>
      </vt:variant>
      <vt:variant>
        <vt:i4>0</vt:i4>
      </vt:variant>
      <vt:variant>
        <vt:i4>5</vt:i4>
      </vt:variant>
      <vt:variant>
        <vt:lpwstr/>
      </vt:variant>
      <vt:variant>
        <vt:lpwstr>_Toc103093949</vt:lpwstr>
      </vt:variant>
      <vt:variant>
        <vt:i4>1048626</vt:i4>
      </vt:variant>
      <vt:variant>
        <vt:i4>806</vt:i4>
      </vt:variant>
      <vt:variant>
        <vt:i4>0</vt:i4>
      </vt:variant>
      <vt:variant>
        <vt:i4>5</vt:i4>
      </vt:variant>
      <vt:variant>
        <vt:lpwstr/>
      </vt:variant>
      <vt:variant>
        <vt:lpwstr>_Toc103093948</vt:lpwstr>
      </vt:variant>
      <vt:variant>
        <vt:i4>1048626</vt:i4>
      </vt:variant>
      <vt:variant>
        <vt:i4>800</vt:i4>
      </vt:variant>
      <vt:variant>
        <vt:i4>0</vt:i4>
      </vt:variant>
      <vt:variant>
        <vt:i4>5</vt:i4>
      </vt:variant>
      <vt:variant>
        <vt:lpwstr/>
      </vt:variant>
      <vt:variant>
        <vt:lpwstr>_Toc103093947</vt:lpwstr>
      </vt:variant>
      <vt:variant>
        <vt:i4>1048626</vt:i4>
      </vt:variant>
      <vt:variant>
        <vt:i4>794</vt:i4>
      </vt:variant>
      <vt:variant>
        <vt:i4>0</vt:i4>
      </vt:variant>
      <vt:variant>
        <vt:i4>5</vt:i4>
      </vt:variant>
      <vt:variant>
        <vt:lpwstr/>
      </vt:variant>
      <vt:variant>
        <vt:lpwstr>_Toc103093946</vt:lpwstr>
      </vt:variant>
      <vt:variant>
        <vt:i4>1048626</vt:i4>
      </vt:variant>
      <vt:variant>
        <vt:i4>788</vt:i4>
      </vt:variant>
      <vt:variant>
        <vt:i4>0</vt:i4>
      </vt:variant>
      <vt:variant>
        <vt:i4>5</vt:i4>
      </vt:variant>
      <vt:variant>
        <vt:lpwstr/>
      </vt:variant>
      <vt:variant>
        <vt:lpwstr>_Toc103093945</vt:lpwstr>
      </vt:variant>
      <vt:variant>
        <vt:i4>1048626</vt:i4>
      </vt:variant>
      <vt:variant>
        <vt:i4>782</vt:i4>
      </vt:variant>
      <vt:variant>
        <vt:i4>0</vt:i4>
      </vt:variant>
      <vt:variant>
        <vt:i4>5</vt:i4>
      </vt:variant>
      <vt:variant>
        <vt:lpwstr/>
      </vt:variant>
      <vt:variant>
        <vt:lpwstr>_Toc103093944</vt:lpwstr>
      </vt:variant>
      <vt:variant>
        <vt:i4>1048626</vt:i4>
      </vt:variant>
      <vt:variant>
        <vt:i4>776</vt:i4>
      </vt:variant>
      <vt:variant>
        <vt:i4>0</vt:i4>
      </vt:variant>
      <vt:variant>
        <vt:i4>5</vt:i4>
      </vt:variant>
      <vt:variant>
        <vt:lpwstr/>
      </vt:variant>
      <vt:variant>
        <vt:lpwstr>_Toc103093943</vt:lpwstr>
      </vt:variant>
      <vt:variant>
        <vt:i4>1048626</vt:i4>
      </vt:variant>
      <vt:variant>
        <vt:i4>770</vt:i4>
      </vt:variant>
      <vt:variant>
        <vt:i4>0</vt:i4>
      </vt:variant>
      <vt:variant>
        <vt:i4>5</vt:i4>
      </vt:variant>
      <vt:variant>
        <vt:lpwstr/>
      </vt:variant>
      <vt:variant>
        <vt:lpwstr>_Toc103093942</vt:lpwstr>
      </vt:variant>
      <vt:variant>
        <vt:i4>1048626</vt:i4>
      </vt:variant>
      <vt:variant>
        <vt:i4>764</vt:i4>
      </vt:variant>
      <vt:variant>
        <vt:i4>0</vt:i4>
      </vt:variant>
      <vt:variant>
        <vt:i4>5</vt:i4>
      </vt:variant>
      <vt:variant>
        <vt:lpwstr/>
      </vt:variant>
      <vt:variant>
        <vt:lpwstr>_Toc103093941</vt:lpwstr>
      </vt:variant>
      <vt:variant>
        <vt:i4>1048626</vt:i4>
      </vt:variant>
      <vt:variant>
        <vt:i4>758</vt:i4>
      </vt:variant>
      <vt:variant>
        <vt:i4>0</vt:i4>
      </vt:variant>
      <vt:variant>
        <vt:i4>5</vt:i4>
      </vt:variant>
      <vt:variant>
        <vt:lpwstr/>
      </vt:variant>
      <vt:variant>
        <vt:lpwstr>_Toc103093940</vt:lpwstr>
      </vt:variant>
      <vt:variant>
        <vt:i4>1507378</vt:i4>
      </vt:variant>
      <vt:variant>
        <vt:i4>752</vt:i4>
      </vt:variant>
      <vt:variant>
        <vt:i4>0</vt:i4>
      </vt:variant>
      <vt:variant>
        <vt:i4>5</vt:i4>
      </vt:variant>
      <vt:variant>
        <vt:lpwstr/>
      </vt:variant>
      <vt:variant>
        <vt:lpwstr>_Toc103093939</vt:lpwstr>
      </vt:variant>
      <vt:variant>
        <vt:i4>1507378</vt:i4>
      </vt:variant>
      <vt:variant>
        <vt:i4>746</vt:i4>
      </vt:variant>
      <vt:variant>
        <vt:i4>0</vt:i4>
      </vt:variant>
      <vt:variant>
        <vt:i4>5</vt:i4>
      </vt:variant>
      <vt:variant>
        <vt:lpwstr/>
      </vt:variant>
      <vt:variant>
        <vt:lpwstr>_Toc103093938</vt:lpwstr>
      </vt:variant>
      <vt:variant>
        <vt:i4>1507378</vt:i4>
      </vt:variant>
      <vt:variant>
        <vt:i4>740</vt:i4>
      </vt:variant>
      <vt:variant>
        <vt:i4>0</vt:i4>
      </vt:variant>
      <vt:variant>
        <vt:i4>5</vt:i4>
      </vt:variant>
      <vt:variant>
        <vt:lpwstr/>
      </vt:variant>
      <vt:variant>
        <vt:lpwstr>_Toc103093937</vt:lpwstr>
      </vt:variant>
      <vt:variant>
        <vt:i4>1507378</vt:i4>
      </vt:variant>
      <vt:variant>
        <vt:i4>734</vt:i4>
      </vt:variant>
      <vt:variant>
        <vt:i4>0</vt:i4>
      </vt:variant>
      <vt:variant>
        <vt:i4>5</vt:i4>
      </vt:variant>
      <vt:variant>
        <vt:lpwstr/>
      </vt:variant>
      <vt:variant>
        <vt:lpwstr>_Toc103093936</vt:lpwstr>
      </vt:variant>
      <vt:variant>
        <vt:i4>1507378</vt:i4>
      </vt:variant>
      <vt:variant>
        <vt:i4>728</vt:i4>
      </vt:variant>
      <vt:variant>
        <vt:i4>0</vt:i4>
      </vt:variant>
      <vt:variant>
        <vt:i4>5</vt:i4>
      </vt:variant>
      <vt:variant>
        <vt:lpwstr/>
      </vt:variant>
      <vt:variant>
        <vt:lpwstr>_Toc103093935</vt:lpwstr>
      </vt:variant>
      <vt:variant>
        <vt:i4>1507378</vt:i4>
      </vt:variant>
      <vt:variant>
        <vt:i4>722</vt:i4>
      </vt:variant>
      <vt:variant>
        <vt:i4>0</vt:i4>
      </vt:variant>
      <vt:variant>
        <vt:i4>5</vt:i4>
      </vt:variant>
      <vt:variant>
        <vt:lpwstr/>
      </vt:variant>
      <vt:variant>
        <vt:lpwstr>_Toc103093934</vt:lpwstr>
      </vt:variant>
      <vt:variant>
        <vt:i4>1507378</vt:i4>
      </vt:variant>
      <vt:variant>
        <vt:i4>716</vt:i4>
      </vt:variant>
      <vt:variant>
        <vt:i4>0</vt:i4>
      </vt:variant>
      <vt:variant>
        <vt:i4>5</vt:i4>
      </vt:variant>
      <vt:variant>
        <vt:lpwstr/>
      </vt:variant>
      <vt:variant>
        <vt:lpwstr>_Toc103093933</vt:lpwstr>
      </vt:variant>
      <vt:variant>
        <vt:i4>1507378</vt:i4>
      </vt:variant>
      <vt:variant>
        <vt:i4>710</vt:i4>
      </vt:variant>
      <vt:variant>
        <vt:i4>0</vt:i4>
      </vt:variant>
      <vt:variant>
        <vt:i4>5</vt:i4>
      </vt:variant>
      <vt:variant>
        <vt:lpwstr/>
      </vt:variant>
      <vt:variant>
        <vt:lpwstr>_Toc103093932</vt:lpwstr>
      </vt:variant>
      <vt:variant>
        <vt:i4>1507378</vt:i4>
      </vt:variant>
      <vt:variant>
        <vt:i4>704</vt:i4>
      </vt:variant>
      <vt:variant>
        <vt:i4>0</vt:i4>
      </vt:variant>
      <vt:variant>
        <vt:i4>5</vt:i4>
      </vt:variant>
      <vt:variant>
        <vt:lpwstr/>
      </vt:variant>
      <vt:variant>
        <vt:lpwstr>_Toc103093931</vt:lpwstr>
      </vt:variant>
      <vt:variant>
        <vt:i4>1507378</vt:i4>
      </vt:variant>
      <vt:variant>
        <vt:i4>698</vt:i4>
      </vt:variant>
      <vt:variant>
        <vt:i4>0</vt:i4>
      </vt:variant>
      <vt:variant>
        <vt:i4>5</vt:i4>
      </vt:variant>
      <vt:variant>
        <vt:lpwstr/>
      </vt:variant>
      <vt:variant>
        <vt:lpwstr>_Toc103093930</vt:lpwstr>
      </vt:variant>
      <vt:variant>
        <vt:i4>1441842</vt:i4>
      </vt:variant>
      <vt:variant>
        <vt:i4>692</vt:i4>
      </vt:variant>
      <vt:variant>
        <vt:i4>0</vt:i4>
      </vt:variant>
      <vt:variant>
        <vt:i4>5</vt:i4>
      </vt:variant>
      <vt:variant>
        <vt:lpwstr/>
      </vt:variant>
      <vt:variant>
        <vt:lpwstr>_Toc103093929</vt:lpwstr>
      </vt:variant>
      <vt:variant>
        <vt:i4>1441842</vt:i4>
      </vt:variant>
      <vt:variant>
        <vt:i4>686</vt:i4>
      </vt:variant>
      <vt:variant>
        <vt:i4>0</vt:i4>
      </vt:variant>
      <vt:variant>
        <vt:i4>5</vt:i4>
      </vt:variant>
      <vt:variant>
        <vt:lpwstr/>
      </vt:variant>
      <vt:variant>
        <vt:lpwstr>_Toc103093928</vt:lpwstr>
      </vt:variant>
      <vt:variant>
        <vt:i4>1441842</vt:i4>
      </vt:variant>
      <vt:variant>
        <vt:i4>680</vt:i4>
      </vt:variant>
      <vt:variant>
        <vt:i4>0</vt:i4>
      </vt:variant>
      <vt:variant>
        <vt:i4>5</vt:i4>
      </vt:variant>
      <vt:variant>
        <vt:lpwstr/>
      </vt:variant>
      <vt:variant>
        <vt:lpwstr>_Toc103093927</vt:lpwstr>
      </vt:variant>
      <vt:variant>
        <vt:i4>1441842</vt:i4>
      </vt:variant>
      <vt:variant>
        <vt:i4>674</vt:i4>
      </vt:variant>
      <vt:variant>
        <vt:i4>0</vt:i4>
      </vt:variant>
      <vt:variant>
        <vt:i4>5</vt:i4>
      </vt:variant>
      <vt:variant>
        <vt:lpwstr/>
      </vt:variant>
      <vt:variant>
        <vt:lpwstr>_Toc103093926</vt:lpwstr>
      </vt:variant>
      <vt:variant>
        <vt:i4>1441842</vt:i4>
      </vt:variant>
      <vt:variant>
        <vt:i4>668</vt:i4>
      </vt:variant>
      <vt:variant>
        <vt:i4>0</vt:i4>
      </vt:variant>
      <vt:variant>
        <vt:i4>5</vt:i4>
      </vt:variant>
      <vt:variant>
        <vt:lpwstr/>
      </vt:variant>
      <vt:variant>
        <vt:lpwstr>_Toc103093925</vt:lpwstr>
      </vt:variant>
      <vt:variant>
        <vt:i4>1441842</vt:i4>
      </vt:variant>
      <vt:variant>
        <vt:i4>662</vt:i4>
      </vt:variant>
      <vt:variant>
        <vt:i4>0</vt:i4>
      </vt:variant>
      <vt:variant>
        <vt:i4>5</vt:i4>
      </vt:variant>
      <vt:variant>
        <vt:lpwstr/>
      </vt:variant>
      <vt:variant>
        <vt:lpwstr>_Toc103093924</vt:lpwstr>
      </vt:variant>
      <vt:variant>
        <vt:i4>1441842</vt:i4>
      </vt:variant>
      <vt:variant>
        <vt:i4>656</vt:i4>
      </vt:variant>
      <vt:variant>
        <vt:i4>0</vt:i4>
      </vt:variant>
      <vt:variant>
        <vt:i4>5</vt:i4>
      </vt:variant>
      <vt:variant>
        <vt:lpwstr/>
      </vt:variant>
      <vt:variant>
        <vt:lpwstr>_Toc103093923</vt:lpwstr>
      </vt:variant>
      <vt:variant>
        <vt:i4>1441842</vt:i4>
      </vt:variant>
      <vt:variant>
        <vt:i4>650</vt:i4>
      </vt:variant>
      <vt:variant>
        <vt:i4>0</vt:i4>
      </vt:variant>
      <vt:variant>
        <vt:i4>5</vt:i4>
      </vt:variant>
      <vt:variant>
        <vt:lpwstr/>
      </vt:variant>
      <vt:variant>
        <vt:lpwstr>_Toc103093922</vt:lpwstr>
      </vt:variant>
      <vt:variant>
        <vt:i4>1441842</vt:i4>
      </vt:variant>
      <vt:variant>
        <vt:i4>644</vt:i4>
      </vt:variant>
      <vt:variant>
        <vt:i4>0</vt:i4>
      </vt:variant>
      <vt:variant>
        <vt:i4>5</vt:i4>
      </vt:variant>
      <vt:variant>
        <vt:lpwstr/>
      </vt:variant>
      <vt:variant>
        <vt:lpwstr>_Toc103093921</vt:lpwstr>
      </vt:variant>
      <vt:variant>
        <vt:i4>1441842</vt:i4>
      </vt:variant>
      <vt:variant>
        <vt:i4>638</vt:i4>
      </vt:variant>
      <vt:variant>
        <vt:i4>0</vt:i4>
      </vt:variant>
      <vt:variant>
        <vt:i4>5</vt:i4>
      </vt:variant>
      <vt:variant>
        <vt:lpwstr/>
      </vt:variant>
      <vt:variant>
        <vt:lpwstr>_Toc103093920</vt:lpwstr>
      </vt:variant>
      <vt:variant>
        <vt:i4>1376306</vt:i4>
      </vt:variant>
      <vt:variant>
        <vt:i4>632</vt:i4>
      </vt:variant>
      <vt:variant>
        <vt:i4>0</vt:i4>
      </vt:variant>
      <vt:variant>
        <vt:i4>5</vt:i4>
      </vt:variant>
      <vt:variant>
        <vt:lpwstr/>
      </vt:variant>
      <vt:variant>
        <vt:lpwstr>_Toc103093919</vt:lpwstr>
      </vt:variant>
      <vt:variant>
        <vt:i4>1376306</vt:i4>
      </vt:variant>
      <vt:variant>
        <vt:i4>626</vt:i4>
      </vt:variant>
      <vt:variant>
        <vt:i4>0</vt:i4>
      </vt:variant>
      <vt:variant>
        <vt:i4>5</vt:i4>
      </vt:variant>
      <vt:variant>
        <vt:lpwstr/>
      </vt:variant>
      <vt:variant>
        <vt:lpwstr>_Toc103093918</vt:lpwstr>
      </vt:variant>
      <vt:variant>
        <vt:i4>1376306</vt:i4>
      </vt:variant>
      <vt:variant>
        <vt:i4>620</vt:i4>
      </vt:variant>
      <vt:variant>
        <vt:i4>0</vt:i4>
      </vt:variant>
      <vt:variant>
        <vt:i4>5</vt:i4>
      </vt:variant>
      <vt:variant>
        <vt:lpwstr/>
      </vt:variant>
      <vt:variant>
        <vt:lpwstr>_Toc103093917</vt:lpwstr>
      </vt:variant>
      <vt:variant>
        <vt:i4>1376306</vt:i4>
      </vt:variant>
      <vt:variant>
        <vt:i4>614</vt:i4>
      </vt:variant>
      <vt:variant>
        <vt:i4>0</vt:i4>
      </vt:variant>
      <vt:variant>
        <vt:i4>5</vt:i4>
      </vt:variant>
      <vt:variant>
        <vt:lpwstr/>
      </vt:variant>
      <vt:variant>
        <vt:lpwstr>_Toc103093916</vt:lpwstr>
      </vt:variant>
      <vt:variant>
        <vt:i4>1376306</vt:i4>
      </vt:variant>
      <vt:variant>
        <vt:i4>608</vt:i4>
      </vt:variant>
      <vt:variant>
        <vt:i4>0</vt:i4>
      </vt:variant>
      <vt:variant>
        <vt:i4>5</vt:i4>
      </vt:variant>
      <vt:variant>
        <vt:lpwstr/>
      </vt:variant>
      <vt:variant>
        <vt:lpwstr>_Toc103093915</vt:lpwstr>
      </vt:variant>
      <vt:variant>
        <vt:i4>1376306</vt:i4>
      </vt:variant>
      <vt:variant>
        <vt:i4>602</vt:i4>
      </vt:variant>
      <vt:variant>
        <vt:i4>0</vt:i4>
      </vt:variant>
      <vt:variant>
        <vt:i4>5</vt:i4>
      </vt:variant>
      <vt:variant>
        <vt:lpwstr/>
      </vt:variant>
      <vt:variant>
        <vt:lpwstr>_Toc103093914</vt:lpwstr>
      </vt:variant>
      <vt:variant>
        <vt:i4>1376306</vt:i4>
      </vt:variant>
      <vt:variant>
        <vt:i4>596</vt:i4>
      </vt:variant>
      <vt:variant>
        <vt:i4>0</vt:i4>
      </vt:variant>
      <vt:variant>
        <vt:i4>5</vt:i4>
      </vt:variant>
      <vt:variant>
        <vt:lpwstr/>
      </vt:variant>
      <vt:variant>
        <vt:lpwstr>_Toc103093913</vt:lpwstr>
      </vt:variant>
      <vt:variant>
        <vt:i4>1376306</vt:i4>
      </vt:variant>
      <vt:variant>
        <vt:i4>590</vt:i4>
      </vt:variant>
      <vt:variant>
        <vt:i4>0</vt:i4>
      </vt:variant>
      <vt:variant>
        <vt:i4>5</vt:i4>
      </vt:variant>
      <vt:variant>
        <vt:lpwstr/>
      </vt:variant>
      <vt:variant>
        <vt:lpwstr>_Toc103093912</vt:lpwstr>
      </vt:variant>
      <vt:variant>
        <vt:i4>1376306</vt:i4>
      </vt:variant>
      <vt:variant>
        <vt:i4>584</vt:i4>
      </vt:variant>
      <vt:variant>
        <vt:i4>0</vt:i4>
      </vt:variant>
      <vt:variant>
        <vt:i4>5</vt:i4>
      </vt:variant>
      <vt:variant>
        <vt:lpwstr/>
      </vt:variant>
      <vt:variant>
        <vt:lpwstr>_Toc103093911</vt:lpwstr>
      </vt:variant>
      <vt:variant>
        <vt:i4>1376306</vt:i4>
      </vt:variant>
      <vt:variant>
        <vt:i4>578</vt:i4>
      </vt:variant>
      <vt:variant>
        <vt:i4>0</vt:i4>
      </vt:variant>
      <vt:variant>
        <vt:i4>5</vt:i4>
      </vt:variant>
      <vt:variant>
        <vt:lpwstr/>
      </vt:variant>
      <vt:variant>
        <vt:lpwstr>_Toc103093910</vt:lpwstr>
      </vt:variant>
      <vt:variant>
        <vt:i4>1310770</vt:i4>
      </vt:variant>
      <vt:variant>
        <vt:i4>572</vt:i4>
      </vt:variant>
      <vt:variant>
        <vt:i4>0</vt:i4>
      </vt:variant>
      <vt:variant>
        <vt:i4>5</vt:i4>
      </vt:variant>
      <vt:variant>
        <vt:lpwstr/>
      </vt:variant>
      <vt:variant>
        <vt:lpwstr>_Toc103093909</vt:lpwstr>
      </vt:variant>
      <vt:variant>
        <vt:i4>1310770</vt:i4>
      </vt:variant>
      <vt:variant>
        <vt:i4>566</vt:i4>
      </vt:variant>
      <vt:variant>
        <vt:i4>0</vt:i4>
      </vt:variant>
      <vt:variant>
        <vt:i4>5</vt:i4>
      </vt:variant>
      <vt:variant>
        <vt:lpwstr/>
      </vt:variant>
      <vt:variant>
        <vt:lpwstr>_Toc103093908</vt:lpwstr>
      </vt:variant>
      <vt:variant>
        <vt:i4>1310770</vt:i4>
      </vt:variant>
      <vt:variant>
        <vt:i4>560</vt:i4>
      </vt:variant>
      <vt:variant>
        <vt:i4>0</vt:i4>
      </vt:variant>
      <vt:variant>
        <vt:i4>5</vt:i4>
      </vt:variant>
      <vt:variant>
        <vt:lpwstr/>
      </vt:variant>
      <vt:variant>
        <vt:lpwstr>_Toc103093907</vt:lpwstr>
      </vt:variant>
      <vt:variant>
        <vt:i4>1310770</vt:i4>
      </vt:variant>
      <vt:variant>
        <vt:i4>554</vt:i4>
      </vt:variant>
      <vt:variant>
        <vt:i4>0</vt:i4>
      </vt:variant>
      <vt:variant>
        <vt:i4>5</vt:i4>
      </vt:variant>
      <vt:variant>
        <vt:lpwstr/>
      </vt:variant>
      <vt:variant>
        <vt:lpwstr>_Toc103093906</vt:lpwstr>
      </vt:variant>
      <vt:variant>
        <vt:i4>1310770</vt:i4>
      </vt:variant>
      <vt:variant>
        <vt:i4>548</vt:i4>
      </vt:variant>
      <vt:variant>
        <vt:i4>0</vt:i4>
      </vt:variant>
      <vt:variant>
        <vt:i4>5</vt:i4>
      </vt:variant>
      <vt:variant>
        <vt:lpwstr/>
      </vt:variant>
      <vt:variant>
        <vt:lpwstr>_Toc103093905</vt:lpwstr>
      </vt:variant>
      <vt:variant>
        <vt:i4>1310770</vt:i4>
      </vt:variant>
      <vt:variant>
        <vt:i4>542</vt:i4>
      </vt:variant>
      <vt:variant>
        <vt:i4>0</vt:i4>
      </vt:variant>
      <vt:variant>
        <vt:i4>5</vt:i4>
      </vt:variant>
      <vt:variant>
        <vt:lpwstr/>
      </vt:variant>
      <vt:variant>
        <vt:lpwstr>_Toc103093904</vt:lpwstr>
      </vt:variant>
      <vt:variant>
        <vt:i4>1310770</vt:i4>
      </vt:variant>
      <vt:variant>
        <vt:i4>536</vt:i4>
      </vt:variant>
      <vt:variant>
        <vt:i4>0</vt:i4>
      </vt:variant>
      <vt:variant>
        <vt:i4>5</vt:i4>
      </vt:variant>
      <vt:variant>
        <vt:lpwstr/>
      </vt:variant>
      <vt:variant>
        <vt:lpwstr>_Toc103093903</vt:lpwstr>
      </vt:variant>
      <vt:variant>
        <vt:i4>1310770</vt:i4>
      </vt:variant>
      <vt:variant>
        <vt:i4>530</vt:i4>
      </vt:variant>
      <vt:variant>
        <vt:i4>0</vt:i4>
      </vt:variant>
      <vt:variant>
        <vt:i4>5</vt:i4>
      </vt:variant>
      <vt:variant>
        <vt:lpwstr/>
      </vt:variant>
      <vt:variant>
        <vt:lpwstr>_Toc103093902</vt:lpwstr>
      </vt:variant>
      <vt:variant>
        <vt:i4>1310770</vt:i4>
      </vt:variant>
      <vt:variant>
        <vt:i4>524</vt:i4>
      </vt:variant>
      <vt:variant>
        <vt:i4>0</vt:i4>
      </vt:variant>
      <vt:variant>
        <vt:i4>5</vt:i4>
      </vt:variant>
      <vt:variant>
        <vt:lpwstr/>
      </vt:variant>
      <vt:variant>
        <vt:lpwstr>_Toc103093901</vt:lpwstr>
      </vt:variant>
      <vt:variant>
        <vt:i4>1310770</vt:i4>
      </vt:variant>
      <vt:variant>
        <vt:i4>518</vt:i4>
      </vt:variant>
      <vt:variant>
        <vt:i4>0</vt:i4>
      </vt:variant>
      <vt:variant>
        <vt:i4>5</vt:i4>
      </vt:variant>
      <vt:variant>
        <vt:lpwstr/>
      </vt:variant>
      <vt:variant>
        <vt:lpwstr>_Toc103093900</vt:lpwstr>
      </vt:variant>
      <vt:variant>
        <vt:i4>1900595</vt:i4>
      </vt:variant>
      <vt:variant>
        <vt:i4>512</vt:i4>
      </vt:variant>
      <vt:variant>
        <vt:i4>0</vt:i4>
      </vt:variant>
      <vt:variant>
        <vt:i4>5</vt:i4>
      </vt:variant>
      <vt:variant>
        <vt:lpwstr/>
      </vt:variant>
      <vt:variant>
        <vt:lpwstr>_Toc103093899</vt:lpwstr>
      </vt:variant>
      <vt:variant>
        <vt:i4>1900595</vt:i4>
      </vt:variant>
      <vt:variant>
        <vt:i4>506</vt:i4>
      </vt:variant>
      <vt:variant>
        <vt:i4>0</vt:i4>
      </vt:variant>
      <vt:variant>
        <vt:i4>5</vt:i4>
      </vt:variant>
      <vt:variant>
        <vt:lpwstr/>
      </vt:variant>
      <vt:variant>
        <vt:lpwstr>_Toc103093898</vt:lpwstr>
      </vt:variant>
      <vt:variant>
        <vt:i4>1900595</vt:i4>
      </vt:variant>
      <vt:variant>
        <vt:i4>500</vt:i4>
      </vt:variant>
      <vt:variant>
        <vt:i4>0</vt:i4>
      </vt:variant>
      <vt:variant>
        <vt:i4>5</vt:i4>
      </vt:variant>
      <vt:variant>
        <vt:lpwstr/>
      </vt:variant>
      <vt:variant>
        <vt:lpwstr>_Toc103093897</vt:lpwstr>
      </vt:variant>
      <vt:variant>
        <vt:i4>1900595</vt:i4>
      </vt:variant>
      <vt:variant>
        <vt:i4>494</vt:i4>
      </vt:variant>
      <vt:variant>
        <vt:i4>0</vt:i4>
      </vt:variant>
      <vt:variant>
        <vt:i4>5</vt:i4>
      </vt:variant>
      <vt:variant>
        <vt:lpwstr/>
      </vt:variant>
      <vt:variant>
        <vt:lpwstr>_Toc103093896</vt:lpwstr>
      </vt:variant>
      <vt:variant>
        <vt:i4>1900595</vt:i4>
      </vt:variant>
      <vt:variant>
        <vt:i4>488</vt:i4>
      </vt:variant>
      <vt:variant>
        <vt:i4>0</vt:i4>
      </vt:variant>
      <vt:variant>
        <vt:i4>5</vt:i4>
      </vt:variant>
      <vt:variant>
        <vt:lpwstr/>
      </vt:variant>
      <vt:variant>
        <vt:lpwstr>_Toc103093895</vt:lpwstr>
      </vt:variant>
      <vt:variant>
        <vt:i4>1900595</vt:i4>
      </vt:variant>
      <vt:variant>
        <vt:i4>482</vt:i4>
      </vt:variant>
      <vt:variant>
        <vt:i4>0</vt:i4>
      </vt:variant>
      <vt:variant>
        <vt:i4>5</vt:i4>
      </vt:variant>
      <vt:variant>
        <vt:lpwstr/>
      </vt:variant>
      <vt:variant>
        <vt:lpwstr>_Toc103093894</vt:lpwstr>
      </vt:variant>
      <vt:variant>
        <vt:i4>1900595</vt:i4>
      </vt:variant>
      <vt:variant>
        <vt:i4>476</vt:i4>
      </vt:variant>
      <vt:variant>
        <vt:i4>0</vt:i4>
      </vt:variant>
      <vt:variant>
        <vt:i4>5</vt:i4>
      </vt:variant>
      <vt:variant>
        <vt:lpwstr/>
      </vt:variant>
      <vt:variant>
        <vt:lpwstr>_Toc103093893</vt:lpwstr>
      </vt:variant>
      <vt:variant>
        <vt:i4>1900595</vt:i4>
      </vt:variant>
      <vt:variant>
        <vt:i4>470</vt:i4>
      </vt:variant>
      <vt:variant>
        <vt:i4>0</vt:i4>
      </vt:variant>
      <vt:variant>
        <vt:i4>5</vt:i4>
      </vt:variant>
      <vt:variant>
        <vt:lpwstr/>
      </vt:variant>
      <vt:variant>
        <vt:lpwstr>_Toc103093892</vt:lpwstr>
      </vt:variant>
      <vt:variant>
        <vt:i4>1900595</vt:i4>
      </vt:variant>
      <vt:variant>
        <vt:i4>464</vt:i4>
      </vt:variant>
      <vt:variant>
        <vt:i4>0</vt:i4>
      </vt:variant>
      <vt:variant>
        <vt:i4>5</vt:i4>
      </vt:variant>
      <vt:variant>
        <vt:lpwstr/>
      </vt:variant>
      <vt:variant>
        <vt:lpwstr>_Toc103093891</vt:lpwstr>
      </vt:variant>
      <vt:variant>
        <vt:i4>1900595</vt:i4>
      </vt:variant>
      <vt:variant>
        <vt:i4>458</vt:i4>
      </vt:variant>
      <vt:variant>
        <vt:i4>0</vt:i4>
      </vt:variant>
      <vt:variant>
        <vt:i4>5</vt:i4>
      </vt:variant>
      <vt:variant>
        <vt:lpwstr/>
      </vt:variant>
      <vt:variant>
        <vt:lpwstr>_Toc103093890</vt:lpwstr>
      </vt:variant>
      <vt:variant>
        <vt:i4>1835059</vt:i4>
      </vt:variant>
      <vt:variant>
        <vt:i4>452</vt:i4>
      </vt:variant>
      <vt:variant>
        <vt:i4>0</vt:i4>
      </vt:variant>
      <vt:variant>
        <vt:i4>5</vt:i4>
      </vt:variant>
      <vt:variant>
        <vt:lpwstr/>
      </vt:variant>
      <vt:variant>
        <vt:lpwstr>_Toc103093889</vt:lpwstr>
      </vt:variant>
      <vt:variant>
        <vt:i4>1835059</vt:i4>
      </vt:variant>
      <vt:variant>
        <vt:i4>446</vt:i4>
      </vt:variant>
      <vt:variant>
        <vt:i4>0</vt:i4>
      </vt:variant>
      <vt:variant>
        <vt:i4>5</vt:i4>
      </vt:variant>
      <vt:variant>
        <vt:lpwstr/>
      </vt:variant>
      <vt:variant>
        <vt:lpwstr>_Toc103093888</vt:lpwstr>
      </vt:variant>
      <vt:variant>
        <vt:i4>1835059</vt:i4>
      </vt:variant>
      <vt:variant>
        <vt:i4>440</vt:i4>
      </vt:variant>
      <vt:variant>
        <vt:i4>0</vt:i4>
      </vt:variant>
      <vt:variant>
        <vt:i4>5</vt:i4>
      </vt:variant>
      <vt:variant>
        <vt:lpwstr/>
      </vt:variant>
      <vt:variant>
        <vt:lpwstr>_Toc103093887</vt:lpwstr>
      </vt:variant>
      <vt:variant>
        <vt:i4>1835059</vt:i4>
      </vt:variant>
      <vt:variant>
        <vt:i4>434</vt:i4>
      </vt:variant>
      <vt:variant>
        <vt:i4>0</vt:i4>
      </vt:variant>
      <vt:variant>
        <vt:i4>5</vt:i4>
      </vt:variant>
      <vt:variant>
        <vt:lpwstr/>
      </vt:variant>
      <vt:variant>
        <vt:lpwstr>_Toc103093886</vt:lpwstr>
      </vt:variant>
      <vt:variant>
        <vt:i4>1835059</vt:i4>
      </vt:variant>
      <vt:variant>
        <vt:i4>428</vt:i4>
      </vt:variant>
      <vt:variant>
        <vt:i4>0</vt:i4>
      </vt:variant>
      <vt:variant>
        <vt:i4>5</vt:i4>
      </vt:variant>
      <vt:variant>
        <vt:lpwstr/>
      </vt:variant>
      <vt:variant>
        <vt:lpwstr>_Toc103093885</vt:lpwstr>
      </vt:variant>
      <vt:variant>
        <vt:i4>1835059</vt:i4>
      </vt:variant>
      <vt:variant>
        <vt:i4>422</vt:i4>
      </vt:variant>
      <vt:variant>
        <vt:i4>0</vt:i4>
      </vt:variant>
      <vt:variant>
        <vt:i4>5</vt:i4>
      </vt:variant>
      <vt:variant>
        <vt:lpwstr/>
      </vt:variant>
      <vt:variant>
        <vt:lpwstr>_Toc103093884</vt:lpwstr>
      </vt:variant>
      <vt:variant>
        <vt:i4>1835059</vt:i4>
      </vt:variant>
      <vt:variant>
        <vt:i4>416</vt:i4>
      </vt:variant>
      <vt:variant>
        <vt:i4>0</vt:i4>
      </vt:variant>
      <vt:variant>
        <vt:i4>5</vt:i4>
      </vt:variant>
      <vt:variant>
        <vt:lpwstr/>
      </vt:variant>
      <vt:variant>
        <vt:lpwstr>_Toc103093883</vt:lpwstr>
      </vt:variant>
      <vt:variant>
        <vt:i4>1835059</vt:i4>
      </vt:variant>
      <vt:variant>
        <vt:i4>410</vt:i4>
      </vt:variant>
      <vt:variant>
        <vt:i4>0</vt:i4>
      </vt:variant>
      <vt:variant>
        <vt:i4>5</vt:i4>
      </vt:variant>
      <vt:variant>
        <vt:lpwstr/>
      </vt:variant>
      <vt:variant>
        <vt:lpwstr>_Toc103093882</vt:lpwstr>
      </vt:variant>
      <vt:variant>
        <vt:i4>1835059</vt:i4>
      </vt:variant>
      <vt:variant>
        <vt:i4>404</vt:i4>
      </vt:variant>
      <vt:variant>
        <vt:i4>0</vt:i4>
      </vt:variant>
      <vt:variant>
        <vt:i4>5</vt:i4>
      </vt:variant>
      <vt:variant>
        <vt:lpwstr/>
      </vt:variant>
      <vt:variant>
        <vt:lpwstr>_Toc103093881</vt:lpwstr>
      </vt:variant>
      <vt:variant>
        <vt:i4>1835059</vt:i4>
      </vt:variant>
      <vt:variant>
        <vt:i4>398</vt:i4>
      </vt:variant>
      <vt:variant>
        <vt:i4>0</vt:i4>
      </vt:variant>
      <vt:variant>
        <vt:i4>5</vt:i4>
      </vt:variant>
      <vt:variant>
        <vt:lpwstr/>
      </vt:variant>
      <vt:variant>
        <vt:lpwstr>_Toc103093880</vt:lpwstr>
      </vt:variant>
      <vt:variant>
        <vt:i4>1245235</vt:i4>
      </vt:variant>
      <vt:variant>
        <vt:i4>392</vt:i4>
      </vt:variant>
      <vt:variant>
        <vt:i4>0</vt:i4>
      </vt:variant>
      <vt:variant>
        <vt:i4>5</vt:i4>
      </vt:variant>
      <vt:variant>
        <vt:lpwstr/>
      </vt:variant>
      <vt:variant>
        <vt:lpwstr>_Toc103093879</vt:lpwstr>
      </vt:variant>
      <vt:variant>
        <vt:i4>1245235</vt:i4>
      </vt:variant>
      <vt:variant>
        <vt:i4>386</vt:i4>
      </vt:variant>
      <vt:variant>
        <vt:i4>0</vt:i4>
      </vt:variant>
      <vt:variant>
        <vt:i4>5</vt:i4>
      </vt:variant>
      <vt:variant>
        <vt:lpwstr/>
      </vt:variant>
      <vt:variant>
        <vt:lpwstr>_Toc103093878</vt:lpwstr>
      </vt:variant>
      <vt:variant>
        <vt:i4>1245235</vt:i4>
      </vt:variant>
      <vt:variant>
        <vt:i4>380</vt:i4>
      </vt:variant>
      <vt:variant>
        <vt:i4>0</vt:i4>
      </vt:variant>
      <vt:variant>
        <vt:i4>5</vt:i4>
      </vt:variant>
      <vt:variant>
        <vt:lpwstr/>
      </vt:variant>
      <vt:variant>
        <vt:lpwstr>_Toc103093877</vt:lpwstr>
      </vt:variant>
      <vt:variant>
        <vt:i4>1245235</vt:i4>
      </vt:variant>
      <vt:variant>
        <vt:i4>374</vt:i4>
      </vt:variant>
      <vt:variant>
        <vt:i4>0</vt:i4>
      </vt:variant>
      <vt:variant>
        <vt:i4>5</vt:i4>
      </vt:variant>
      <vt:variant>
        <vt:lpwstr/>
      </vt:variant>
      <vt:variant>
        <vt:lpwstr>_Toc103093876</vt:lpwstr>
      </vt:variant>
      <vt:variant>
        <vt:i4>1245235</vt:i4>
      </vt:variant>
      <vt:variant>
        <vt:i4>368</vt:i4>
      </vt:variant>
      <vt:variant>
        <vt:i4>0</vt:i4>
      </vt:variant>
      <vt:variant>
        <vt:i4>5</vt:i4>
      </vt:variant>
      <vt:variant>
        <vt:lpwstr/>
      </vt:variant>
      <vt:variant>
        <vt:lpwstr>_Toc103093875</vt:lpwstr>
      </vt:variant>
      <vt:variant>
        <vt:i4>1245235</vt:i4>
      </vt:variant>
      <vt:variant>
        <vt:i4>362</vt:i4>
      </vt:variant>
      <vt:variant>
        <vt:i4>0</vt:i4>
      </vt:variant>
      <vt:variant>
        <vt:i4>5</vt:i4>
      </vt:variant>
      <vt:variant>
        <vt:lpwstr/>
      </vt:variant>
      <vt:variant>
        <vt:lpwstr>_Toc103093874</vt:lpwstr>
      </vt:variant>
      <vt:variant>
        <vt:i4>1245235</vt:i4>
      </vt:variant>
      <vt:variant>
        <vt:i4>356</vt:i4>
      </vt:variant>
      <vt:variant>
        <vt:i4>0</vt:i4>
      </vt:variant>
      <vt:variant>
        <vt:i4>5</vt:i4>
      </vt:variant>
      <vt:variant>
        <vt:lpwstr/>
      </vt:variant>
      <vt:variant>
        <vt:lpwstr>_Toc103093873</vt:lpwstr>
      </vt:variant>
      <vt:variant>
        <vt:i4>1245235</vt:i4>
      </vt:variant>
      <vt:variant>
        <vt:i4>350</vt:i4>
      </vt:variant>
      <vt:variant>
        <vt:i4>0</vt:i4>
      </vt:variant>
      <vt:variant>
        <vt:i4>5</vt:i4>
      </vt:variant>
      <vt:variant>
        <vt:lpwstr/>
      </vt:variant>
      <vt:variant>
        <vt:lpwstr>_Toc103093872</vt:lpwstr>
      </vt:variant>
      <vt:variant>
        <vt:i4>1245235</vt:i4>
      </vt:variant>
      <vt:variant>
        <vt:i4>344</vt:i4>
      </vt:variant>
      <vt:variant>
        <vt:i4>0</vt:i4>
      </vt:variant>
      <vt:variant>
        <vt:i4>5</vt:i4>
      </vt:variant>
      <vt:variant>
        <vt:lpwstr/>
      </vt:variant>
      <vt:variant>
        <vt:lpwstr>_Toc103093871</vt:lpwstr>
      </vt:variant>
      <vt:variant>
        <vt:i4>1245235</vt:i4>
      </vt:variant>
      <vt:variant>
        <vt:i4>338</vt:i4>
      </vt:variant>
      <vt:variant>
        <vt:i4>0</vt:i4>
      </vt:variant>
      <vt:variant>
        <vt:i4>5</vt:i4>
      </vt:variant>
      <vt:variant>
        <vt:lpwstr/>
      </vt:variant>
      <vt:variant>
        <vt:lpwstr>_Toc103093870</vt:lpwstr>
      </vt:variant>
      <vt:variant>
        <vt:i4>1179699</vt:i4>
      </vt:variant>
      <vt:variant>
        <vt:i4>332</vt:i4>
      </vt:variant>
      <vt:variant>
        <vt:i4>0</vt:i4>
      </vt:variant>
      <vt:variant>
        <vt:i4>5</vt:i4>
      </vt:variant>
      <vt:variant>
        <vt:lpwstr/>
      </vt:variant>
      <vt:variant>
        <vt:lpwstr>_Toc103093869</vt:lpwstr>
      </vt:variant>
      <vt:variant>
        <vt:i4>1179699</vt:i4>
      </vt:variant>
      <vt:variant>
        <vt:i4>326</vt:i4>
      </vt:variant>
      <vt:variant>
        <vt:i4>0</vt:i4>
      </vt:variant>
      <vt:variant>
        <vt:i4>5</vt:i4>
      </vt:variant>
      <vt:variant>
        <vt:lpwstr/>
      </vt:variant>
      <vt:variant>
        <vt:lpwstr>_Toc103093868</vt:lpwstr>
      </vt:variant>
      <vt:variant>
        <vt:i4>1179699</vt:i4>
      </vt:variant>
      <vt:variant>
        <vt:i4>320</vt:i4>
      </vt:variant>
      <vt:variant>
        <vt:i4>0</vt:i4>
      </vt:variant>
      <vt:variant>
        <vt:i4>5</vt:i4>
      </vt:variant>
      <vt:variant>
        <vt:lpwstr/>
      </vt:variant>
      <vt:variant>
        <vt:lpwstr>_Toc103093867</vt:lpwstr>
      </vt:variant>
      <vt:variant>
        <vt:i4>1179699</vt:i4>
      </vt:variant>
      <vt:variant>
        <vt:i4>314</vt:i4>
      </vt:variant>
      <vt:variant>
        <vt:i4>0</vt:i4>
      </vt:variant>
      <vt:variant>
        <vt:i4>5</vt:i4>
      </vt:variant>
      <vt:variant>
        <vt:lpwstr/>
      </vt:variant>
      <vt:variant>
        <vt:lpwstr>_Toc103093866</vt:lpwstr>
      </vt:variant>
      <vt:variant>
        <vt:i4>1179699</vt:i4>
      </vt:variant>
      <vt:variant>
        <vt:i4>308</vt:i4>
      </vt:variant>
      <vt:variant>
        <vt:i4>0</vt:i4>
      </vt:variant>
      <vt:variant>
        <vt:i4>5</vt:i4>
      </vt:variant>
      <vt:variant>
        <vt:lpwstr/>
      </vt:variant>
      <vt:variant>
        <vt:lpwstr>_Toc103093865</vt:lpwstr>
      </vt:variant>
      <vt:variant>
        <vt:i4>1179699</vt:i4>
      </vt:variant>
      <vt:variant>
        <vt:i4>302</vt:i4>
      </vt:variant>
      <vt:variant>
        <vt:i4>0</vt:i4>
      </vt:variant>
      <vt:variant>
        <vt:i4>5</vt:i4>
      </vt:variant>
      <vt:variant>
        <vt:lpwstr/>
      </vt:variant>
      <vt:variant>
        <vt:lpwstr>_Toc103093864</vt:lpwstr>
      </vt:variant>
      <vt:variant>
        <vt:i4>1179699</vt:i4>
      </vt:variant>
      <vt:variant>
        <vt:i4>296</vt:i4>
      </vt:variant>
      <vt:variant>
        <vt:i4>0</vt:i4>
      </vt:variant>
      <vt:variant>
        <vt:i4>5</vt:i4>
      </vt:variant>
      <vt:variant>
        <vt:lpwstr/>
      </vt:variant>
      <vt:variant>
        <vt:lpwstr>_Toc103093863</vt:lpwstr>
      </vt:variant>
      <vt:variant>
        <vt:i4>1179699</vt:i4>
      </vt:variant>
      <vt:variant>
        <vt:i4>290</vt:i4>
      </vt:variant>
      <vt:variant>
        <vt:i4>0</vt:i4>
      </vt:variant>
      <vt:variant>
        <vt:i4>5</vt:i4>
      </vt:variant>
      <vt:variant>
        <vt:lpwstr/>
      </vt:variant>
      <vt:variant>
        <vt:lpwstr>_Toc103093862</vt:lpwstr>
      </vt:variant>
      <vt:variant>
        <vt:i4>1179699</vt:i4>
      </vt:variant>
      <vt:variant>
        <vt:i4>284</vt:i4>
      </vt:variant>
      <vt:variant>
        <vt:i4>0</vt:i4>
      </vt:variant>
      <vt:variant>
        <vt:i4>5</vt:i4>
      </vt:variant>
      <vt:variant>
        <vt:lpwstr/>
      </vt:variant>
      <vt:variant>
        <vt:lpwstr>_Toc103093861</vt:lpwstr>
      </vt:variant>
      <vt:variant>
        <vt:i4>1179699</vt:i4>
      </vt:variant>
      <vt:variant>
        <vt:i4>278</vt:i4>
      </vt:variant>
      <vt:variant>
        <vt:i4>0</vt:i4>
      </vt:variant>
      <vt:variant>
        <vt:i4>5</vt:i4>
      </vt:variant>
      <vt:variant>
        <vt:lpwstr/>
      </vt:variant>
      <vt:variant>
        <vt:lpwstr>_Toc103093860</vt:lpwstr>
      </vt:variant>
      <vt:variant>
        <vt:i4>1114163</vt:i4>
      </vt:variant>
      <vt:variant>
        <vt:i4>272</vt:i4>
      </vt:variant>
      <vt:variant>
        <vt:i4>0</vt:i4>
      </vt:variant>
      <vt:variant>
        <vt:i4>5</vt:i4>
      </vt:variant>
      <vt:variant>
        <vt:lpwstr/>
      </vt:variant>
      <vt:variant>
        <vt:lpwstr>_Toc103093859</vt:lpwstr>
      </vt:variant>
      <vt:variant>
        <vt:i4>1114163</vt:i4>
      </vt:variant>
      <vt:variant>
        <vt:i4>266</vt:i4>
      </vt:variant>
      <vt:variant>
        <vt:i4>0</vt:i4>
      </vt:variant>
      <vt:variant>
        <vt:i4>5</vt:i4>
      </vt:variant>
      <vt:variant>
        <vt:lpwstr/>
      </vt:variant>
      <vt:variant>
        <vt:lpwstr>_Toc103093858</vt:lpwstr>
      </vt:variant>
      <vt:variant>
        <vt:i4>1114163</vt:i4>
      </vt:variant>
      <vt:variant>
        <vt:i4>260</vt:i4>
      </vt:variant>
      <vt:variant>
        <vt:i4>0</vt:i4>
      </vt:variant>
      <vt:variant>
        <vt:i4>5</vt:i4>
      </vt:variant>
      <vt:variant>
        <vt:lpwstr/>
      </vt:variant>
      <vt:variant>
        <vt:lpwstr>_Toc103093857</vt:lpwstr>
      </vt:variant>
      <vt:variant>
        <vt:i4>1114163</vt:i4>
      </vt:variant>
      <vt:variant>
        <vt:i4>254</vt:i4>
      </vt:variant>
      <vt:variant>
        <vt:i4>0</vt:i4>
      </vt:variant>
      <vt:variant>
        <vt:i4>5</vt:i4>
      </vt:variant>
      <vt:variant>
        <vt:lpwstr/>
      </vt:variant>
      <vt:variant>
        <vt:lpwstr>_Toc103093856</vt:lpwstr>
      </vt:variant>
      <vt:variant>
        <vt:i4>1114163</vt:i4>
      </vt:variant>
      <vt:variant>
        <vt:i4>248</vt:i4>
      </vt:variant>
      <vt:variant>
        <vt:i4>0</vt:i4>
      </vt:variant>
      <vt:variant>
        <vt:i4>5</vt:i4>
      </vt:variant>
      <vt:variant>
        <vt:lpwstr/>
      </vt:variant>
      <vt:variant>
        <vt:lpwstr>_Toc103093855</vt:lpwstr>
      </vt:variant>
      <vt:variant>
        <vt:i4>1114163</vt:i4>
      </vt:variant>
      <vt:variant>
        <vt:i4>242</vt:i4>
      </vt:variant>
      <vt:variant>
        <vt:i4>0</vt:i4>
      </vt:variant>
      <vt:variant>
        <vt:i4>5</vt:i4>
      </vt:variant>
      <vt:variant>
        <vt:lpwstr/>
      </vt:variant>
      <vt:variant>
        <vt:lpwstr>_Toc103093854</vt:lpwstr>
      </vt:variant>
      <vt:variant>
        <vt:i4>1114163</vt:i4>
      </vt:variant>
      <vt:variant>
        <vt:i4>236</vt:i4>
      </vt:variant>
      <vt:variant>
        <vt:i4>0</vt:i4>
      </vt:variant>
      <vt:variant>
        <vt:i4>5</vt:i4>
      </vt:variant>
      <vt:variant>
        <vt:lpwstr/>
      </vt:variant>
      <vt:variant>
        <vt:lpwstr>_Toc103093853</vt:lpwstr>
      </vt:variant>
      <vt:variant>
        <vt:i4>1114163</vt:i4>
      </vt:variant>
      <vt:variant>
        <vt:i4>230</vt:i4>
      </vt:variant>
      <vt:variant>
        <vt:i4>0</vt:i4>
      </vt:variant>
      <vt:variant>
        <vt:i4>5</vt:i4>
      </vt:variant>
      <vt:variant>
        <vt:lpwstr/>
      </vt:variant>
      <vt:variant>
        <vt:lpwstr>_Toc103093852</vt:lpwstr>
      </vt:variant>
      <vt:variant>
        <vt:i4>1114163</vt:i4>
      </vt:variant>
      <vt:variant>
        <vt:i4>224</vt:i4>
      </vt:variant>
      <vt:variant>
        <vt:i4>0</vt:i4>
      </vt:variant>
      <vt:variant>
        <vt:i4>5</vt:i4>
      </vt:variant>
      <vt:variant>
        <vt:lpwstr/>
      </vt:variant>
      <vt:variant>
        <vt:lpwstr>_Toc103093851</vt:lpwstr>
      </vt:variant>
      <vt:variant>
        <vt:i4>1114163</vt:i4>
      </vt:variant>
      <vt:variant>
        <vt:i4>218</vt:i4>
      </vt:variant>
      <vt:variant>
        <vt:i4>0</vt:i4>
      </vt:variant>
      <vt:variant>
        <vt:i4>5</vt:i4>
      </vt:variant>
      <vt:variant>
        <vt:lpwstr/>
      </vt:variant>
      <vt:variant>
        <vt:lpwstr>_Toc103093850</vt:lpwstr>
      </vt:variant>
      <vt:variant>
        <vt:i4>1048627</vt:i4>
      </vt:variant>
      <vt:variant>
        <vt:i4>212</vt:i4>
      </vt:variant>
      <vt:variant>
        <vt:i4>0</vt:i4>
      </vt:variant>
      <vt:variant>
        <vt:i4>5</vt:i4>
      </vt:variant>
      <vt:variant>
        <vt:lpwstr/>
      </vt:variant>
      <vt:variant>
        <vt:lpwstr>_Toc103093849</vt:lpwstr>
      </vt:variant>
      <vt:variant>
        <vt:i4>1048627</vt:i4>
      </vt:variant>
      <vt:variant>
        <vt:i4>206</vt:i4>
      </vt:variant>
      <vt:variant>
        <vt:i4>0</vt:i4>
      </vt:variant>
      <vt:variant>
        <vt:i4>5</vt:i4>
      </vt:variant>
      <vt:variant>
        <vt:lpwstr/>
      </vt:variant>
      <vt:variant>
        <vt:lpwstr>_Toc103093848</vt:lpwstr>
      </vt:variant>
      <vt:variant>
        <vt:i4>1048627</vt:i4>
      </vt:variant>
      <vt:variant>
        <vt:i4>200</vt:i4>
      </vt:variant>
      <vt:variant>
        <vt:i4>0</vt:i4>
      </vt:variant>
      <vt:variant>
        <vt:i4>5</vt:i4>
      </vt:variant>
      <vt:variant>
        <vt:lpwstr/>
      </vt:variant>
      <vt:variant>
        <vt:lpwstr>_Toc103093847</vt:lpwstr>
      </vt:variant>
      <vt:variant>
        <vt:i4>1048627</vt:i4>
      </vt:variant>
      <vt:variant>
        <vt:i4>194</vt:i4>
      </vt:variant>
      <vt:variant>
        <vt:i4>0</vt:i4>
      </vt:variant>
      <vt:variant>
        <vt:i4>5</vt:i4>
      </vt:variant>
      <vt:variant>
        <vt:lpwstr/>
      </vt:variant>
      <vt:variant>
        <vt:lpwstr>_Toc103093846</vt:lpwstr>
      </vt:variant>
      <vt:variant>
        <vt:i4>1048627</vt:i4>
      </vt:variant>
      <vt:variant>
        <vt:i4>188</vt:i4>
      </vt:variant>
      <vt:variant>
        <vt:i4>0</vt:i4>
      </vt:variant>
      <vt:variant>
        <vt:i4>5</vt:i4>
      </vt:variant>
      <vt:variant>
        <vt:lpwstr/>
      </vt:variant>
      <vt:variant>
        <vt:lpwstr>_Toc103093845</vt:lpwstr>
      </vt:variant>
      <vt:variant>
        <vt:i4>1048627</vt:i4>
      </vt:variant>
      <vt:variant>
        <vt:i4>182</vt:i4>
      </vt:variant>
      <vt:variant>
        <vt:i4>0</vt:i4>
      </vt:variant>
      <vt:variant>
        <vt:i4>5</vt:i4>
      </vt:variant>
      <vt:variant>
        <vt:lpwstr/>
      </vt:variant>
      <vt:variant>
        <vt:lpwstr>_Toc103093844</vt:lpwstr>
      </vt:variant>
      <vt:variant>
        <vt:i4>1048627</vt:i4>
      </vt:variant>
      <vt:variant>
        <vt:i4>176</vt:i4>
      </vt:variant>
      <vt:variant>
        <vt:i4>0</vt:i4>
      </vt:variant>
      <vt:variant>
        <vt:i4>5</vt:i4>
      </vt:variant>
      <vt:variant>
        <vt:lpwstr/>
      </vt:variant>
      <vt:variant>
        <vt:lpwstr>_Toc103093843</vt:lpwstr>
      </vt:variant>
      <vt:variant>
        <vt:i4>1048627</vt:i4>
      </vt:variant>
      <vt:variant>
        <vt:i4>170</vt:i4>
      </vt:variant>
      <vt:variant>
        <vt:i4>0</vt:i4>
      </vt:variant>
      <vt:variant>
        <vt:i4>5</vt:i4>
      </vt:variant>
      <vt:variant>
        <vt:lpwstr/>
      </vt:variant>
      <vt:variant>
        <vt:lpwstr>_Toc103093842</vt:lpwstr>
      </vt:variant>
      <vt:variant>
        <vt:i4>1048627</vt:i4>
      </vt:variant>
      <vt:variant>
        <vt:i4>164</vt:i4>
      </vt:variant>
      <vt:variant>
        <vt:i4>0</vt:i4>
      </vt:variant>
      <vt:variant>
        <vt:i4>5</vt:i4>
      </vt:variant>
      <vt:variant>
        <vt:lpwstr/>
      </vt:variant>
      <vt:variant>
        <vt:lpwstr>_Toc103093841</vt:lpwstr>
      </vt:variant>
      <vt:variant>
        <vt:i4>1048627</vt:i4>
      </vt:variant>
      <vt:variant>
        <vt:i4>158</vt:i4>
      </vt:variant>
      <vt:variant>
        <vt:i4>0</vt:i4>
      </vt:variant>
      <vt:variant>
        <vt:i4>5</vt:i4>
      </vt:variant>
      <vt:variant>
        <vt:lpwstr/>
      </vt:variant>
      <vt:variant>
        <vt:lpwstr>_Toc103093840</vt:lpwstr>
      </vt:variant>
      <vt:variant>
        <vt:i4>1507379</vt:i4>
      </vt:variant>
      <vt:variant>
        <vt:i4>152</vt:i4>
      </vt:variant>
      <vt:variant>
        <vt:i4>0</vt:i4>
      </vt:variant>
      <vt:variant>
        <vt:i4>5</vt:i4>
      </vt:variant>
      <vt:variant>
        <vt:lpwstr/>
      </vt:variant>
      <vt:variant>
        <vt:lpwstr>_Toc103093839</vt:lpwstr>
      </vt:variant>
      <vt:variant>
        <vt:i4>1507379</vt:i4>
      </vt:variant>
      <vt:variant>
        <vt:i4>146</vt:i4>
      </vt:variant>
      <vt:variant>
        <vt:i4>0</vt:i4>
      </vt:variant>
      <vt:variant>
        <vt:i4>5</vt:i4>
      </vt:variant>
      <vt:variant>
        <vt:lpwstr/>
      </vt:variant>
      <vt:variant>
        <vt:lpwstr>_Toc103093838</vt:lpwstr>
      </vt:variant>
      <vt:variant>
        <vt:i4>1507379</vt:i4>
      </vt:variant>
      <vt:variant>
        <vt:i4>140</vt:i4>
      </vt:variant>
      <vt:variant>
        <vt:i4>0</vt:i4>
      </vt:variant>
      <vt:variant>
        <vt:i4>5</vt:i4>
      </vt:variant>
      <vt:variant>
        <vt:lpwstr/>
      </vt:variant>
      <vt:variant>
        <vt:lpwstr>_Toc103093837</vt:lpwstr>
      </vt:variant>
      <vt:variant>
        <vt:i4>1507379</vt:i4>
      </vt:variant>
      <vt:variant>
        <vt:i4>134</vt:i4>
      </vt:variant>
      <vt:variant>
        <vt:i4>0</vt:i4>
      </vt:variant>
      <vt:variant>
        <vt:i4>5</vt:i4>
      </vt:variant>
      <vt:variant>
        <vt:lpwstr/>
      </vt:variant>
      <vt:variant>
        <vt:lpwstr>_Toc103093836</vt:lpwstr>
      </vt:variant>
      <vt:variant>
        <vt:i4>1507379</vt:i4>
      </vt:variant>
      <vt:variant>
        <vt:i4>128</vt:i4>
      </vt:variant>
      <vt:variant>
        <vt:i4>0</vt:i4>
      </vt:variant>
      <vt:variant>
        <vt:i4>5</vt:i4>
      </vt:variant>
      <vt:variant>
        <vt:lpwstr/>
      </vt:variant>
      <vt:variant>
        <vt:lpwstr>_Toc103093835</vt:lpwstr>
      </vt:variant>
      <vt:variant>
        <vt:i4>1507379</vt:i4>
      </vt:variant>
      <vt:variant>
        <vt:i4>122</vt:i4>
      </vt:variant>
      <vt:variant>
        <vt:i4>0</vt:i4>
      </vt:variant>
      <vt:variant>
        <vt:i4>5</vt:i4>
      </vt:variant>
      <vt:variant>
        <vt:lpwstr/>
      </vt:variant>
      <vt:variant>
        <vt:lpwstr>_Toc103093834</vt:lpwstr>
      </vt:variant>
      <vt:variant>
        <vt:i4>1507379</vt:i4>
      </vt:variant>
      <vt:variant>
        <vt:i4>116</vt:i4>
      </vt:variant>
      <vt:variant>
        <vt:i4>0</vt:i4>
      </vt:variant>
      <vt:variant>
        <vt:i4>5</vt:i4>
      </vt:variant>
      <vt:variant>
        <vt:lpwstr/>
      </vt:variant>
      <vt:variant>
        <vt:lpwstr>_Toc103093833</vt:lpwstr>
      </vt:variant>
      <vt:variant>
        <vt:i4>1507379</vt:i4>
      </vt:variant>
      <vt:variant>
        <vt:i4>110</vt:i4>
      </vt:variant>
      <vt:variant>
        <vt:i4>0</vt:i4>
      </vt:variant>
      <vt:variant>
        <vt:i4>5</vt:i4>
      </vt:variant>
      <vt:variant>
        <vt:lpwstr/>
      </vt:variant>
      <vt:variant>
        <vt:lpwstr>_Toc103093832</vt:lpwstr>
      </vt:variant>
      <vt:variant>
        <vt:i4>1507379</vt:i4>
      </vt:variant>
      <vt:variant>
        <vt:i4>104</vt:i4>
      </vt:variant>
      <vt:variant>
        <vt:i4>0</vt:i4>
      </vt:variant>
      <vt:variant>
        <vt:i4>5</vt:i4>
      </vt:variant>
      <vt:variant>
        <vt:lpwstr/>
      </vt:variant>
      <vt:variant>
        <vt:lpwstr>_Toc103093831</vt:lpwstr>
      </vt:variant>
      <vt:variant>
        <vt:i4>1507379</vt:i4>
      </vt:variant>
      <vt:variant>
        <vt:i4>98</vt:i4>
      </vt:variant>
      <vt:variant>
        <vt:i4>0</vt:i4>
      </vt:variant>
      <vt:variant>
        <vt:i4>5</vt:i4>
      </vt:variant>
      <vt:variant>
        <vt:lpwstr/>
      </vt:variant>
      <vt:variant>
        <vt:lpwstr>_Toc103093830</vt:lpwstr>
      </vt:variant>
      <vt:variant>
        <vt:i4>1441843</vt:i4>
      </vt:variant>
      <vt:variant>
        <vt:i4>92</vt:i4>
      </vt:variant>
      <vt:variant>
        <vt:i4>0</vt:i4>
      </vt:variant>
      <vt:variant>
        <vt:i4>5</vt:i4>
      </vt:variant>
      <vt:variant>
        <vt:lpwstr/>
      </vt:variant>
      <vt:variant>
        <vt:lpwstr>_Toc103093829</vt:lpwstr>
      </vt:variant>
      <vt:variant>
        <vt:i4>1441843</vt:i4>
      </vt:variant>
      <vt:variant>
        <vt:i4>86</vt:i4>
      </vt:variant>
      <vt:variant>
        <vt:i4>0</vt:i4>
      </vt:variant>
      <vt:variant>
        <vt:i4>5</vt:i4>
      </vt:variant>
      <vt:variant>
        <vt:lpwstr/>
      </vt:variant>
      <vt:variant>
        <vt:lpwstr>_Toc103093828</vt:lpwstr>
      </vt:variant>
      <vt:variant>
        <vt:i4>1441843</vt:i4>
      </vt:variant>
      <vt:variant>
        <vt:i4>80</vt:i4>
      </vt:variant>
      <vt:variant>
        <vt:i4>0</vt:i4>
      </vt:variant>
      <vt:variant>
        <vt:i4>5</vt:i4>
      </vt:variant>
      <vt:variant>
        <vt:lpwstr/>
      </vt:variant>
      <vt:variant>
        <vt:lpwstr>_Toc103093827</vt:lpwstr>
      </vt:variant>
      <vt:variant>
        <vt:i4>1441843</vt:i4>
      </vt:variant>
      <vt:variant>
        <vt:i4>74</vt:i4>
      </vt:variant>
      <vt:variant>
        <vt:i4>0</vt:i4>
      </vt:variant>
      <vt:variant>
        <vt:i4>5</vt:i4>
      </vt:variant>
      <vt:variant>
        <vt:lpwstr/>
      </vt:variant>
      <vt:variant>
        <vt:lpwstr>_Toc103093826</vt:lpwstr>
      </vt:variant>
      <vt:variant>
        <vt:i4>1441843</vt:i4>
      </vt:variant>
      <vt:variant>
        <vt:i4>68</vt:i4>
      </vt:variant>
      <vt:variant>
        <vt:i4>0</vt:i4>
      </vt:variant>
      <vt:variant>
        <vt:i4>5</vt:i4>
      </vt:variant>
      <vt:variant>
        <vt:lpwstr/>
      </vt:variant>
      <vt:variant>
        <vt:lpwstr>_Toc103093825</vt:lpwstr>
      </vt:variant>
      <vt:variant>
        <vt:i4>1441843</vt:i4>
      </vt:variant>
      <vt:variant>
        <vt:i4>62</vt:i4>
      </vt:variant>
      <vt:variant>
        <vt:i4>0</vt:i4>
      </vt:variant>
      <vt:variant>
        <vt:i4>5</vt:i4>
      </vt:variant>
      <vt:variant>
        <vt:lpwstr/>
      </vt:variant>
      <vt:variant>
        <vt:lpwstr>_Toc103093824</vt:lpwstr>
      </vt:variant>
      <vt:variant>
        <vt:i4>1441843</vt:i4>
      </vt:variant>
      <vt:variant>
        <vt:i4>56</vt:i4>
      </vt:variant>
      <vt:variant>
        <vt:i4>0</vt:i4>
      </vt:variant>
      <vt:variant>
        <vt:i4>5</vt:i4>
      </vt:variant>
      <vt:variant>
        <vt:lpwstr/>
      </vt:variant>
      <vt:variant>
        <vt:lpwstr>_Toc103093823</vt:lpwstr>
      </vt:variant>
      <vt:variant>
        <vt:i4>1441843</vt:i4>
      </vt:variant>
      <vt:variant>
        <vt:i4>50</vt:i4>
      </vt:variant>
      <vt:variant>
        <vt:i4>0</vt:i4>
      </vt:variant>
      <vt:variant>
        <vt:i4>5</vt:i4>
      </vt:variant>
      <vt:variant>
        <vt:lpwstr/>
      </vt:variant>
      <vt:variant>
        <vt:lpwstr>_Toc103093822</vt:lpwstr>
      </vt:variant>
      <vt:variant>
        <vt:i4>1441843</vt:i4>
      </vt:variant>
      <vt:variant>
        <vt:i4>44</vt:i4>
      </vt:variant>
      <vt:variant>
        <vt:i4>0</vt:i4>
      </vt:variant>
      <vt:variant>
        <vt:i4>5</vt:i4>
      </vt:variant>
      <vt:variant>
        <vt:lpwstr/>
      </vt:variant>
      <vt:variant>
        <vt:lpwstr>_Toc103093821</vt:lpwstr>
      </vt:variant>
      <vt:variant>
        <vt:i4>1441843</vt:i4>
      </vt:variant>
      <vt:variant>
        <vt:i4>38</vt:i4>
      </vt:variant>
      <vt:variant>
        <vt:i4>0</vt:i4>
      </vt:variant>
      <vt:variant>
        <vt:i4>5</vt:i4>
      </vt:variant>
      <vt:variant>
        <vt:lpwstr/>
      </vt:variant>
      <vt:variant>
        <vt:lpwstr>_Toc103093820</vt:lpwstr>
      </vt:variant>
      <vt:variant>
        <vt:i4>1376307</vt:i4>
      </vt:variant>
      <vt:variant>
        <vt:i4>32</vt:i4>
      </vt:variant>
      <vt:variant>
        <vt:i4>0</vt:i4>
      </vt:variant>
      <vt:variant>
        <vt:i4>5</vt:i4>
      </vt:variant>
      <vt:variant>
        <vt:lpwstr/>
      </vt:variant>
      <vt:variant>
        <vt:lpwstr>_Toc103093819</vt:lpwstr>
      </vt:variant>
      <vt:variant>
        <vt:i4>1376307</vt:i4>
      </vt:variant>
      <vt:variant>
        <vt:i4>26</vt:i4>
      </vt:variant>
      <vt:variant>
        <vt:i4>0</vt:i4>
      </vt:variant>
      <vt:variant>
        <vt:i4>5</vt:i4>
      </vt:variant>
      <vt:variant>
        <vt:lpwstr/>
      </vt:variant>
      <vt:variant>
        <vt:lpwstr>_Toc103093818</vt:lpwstr>
      </vt:variant>
      <vt:variant>
        <vt:i4>1376307</vt:i4>
      </vt:variant>
      <vt:variant>
        <vt:i4>20</vt:i4>
      </vt:variant>
      <vt:variant>
        <vt:i4>0</vt:i4>
      </vt:variant>
      <vt:variant>
        <vt:i4>5</vt:i4>
      </vt:variant>
      <vt:variant>
        <vt:lpwstr/>
      </vt:variant>
      <vt:variant>
        <vt:lpwstr>_Toc103093817</vt:lpwstr>
      </vt:variant>
      <vt:variant>
        <vt:i4>1376307</vt:i4>
      </vt:variant>
      <vt:variant>
        <vt:i4>14</vt:i4>
      </vt:variant>
      <vt:variant>
        <vt:i4>0</vt:i4>
      </vt:variant>
      <vt:variant>
        <vt:i4>5</vt:i4>
      </vt:variant>
      <vt:variant>
        <vt:lpwstr/>
      </vt:variant>
      <vt:variant>
        <vt:lpwstr>_Toc103093816</vt:lpwstr>
      </vt:variant>
      <vt:variant>
        <vt:i4>1376307</vt:i4>
      </vt:variant>
      <vt:variant>
        <vt:i4>8</vt:i4>
      </vt:variant>
      <vt:variant>
        <vt:i4>0</vt:i4>
      </vt:variant>
      <vt:variant>
        <vt:i4>5</vt:i4>
      </vt:variant>
      <vt:variant>
        <vt:lpwstr/>
      </vt:variant>
      <vt:variant>
        <vt:lpwstr>_Toc103093815</vt:lpwstr>
      </vt:variant>
      <vt:variant>
        <vt:i4>1376307</vt:i4>
      </vt:variant>
      <vt:variant>
        <vt:i4>2</vt:i4>
      </vt:variant>
      <vt:variant>
        <vt:i4>0</vt:i4>
      </vt:variant>
      <vt:variant>
        <vt:i4>5</vt:i4>
      </vt:variant>
      <vt:variant>
        <vt:lpwstr/>
      </vt:variant>
      <vt:variant>
        <vt:lpwstr>_Toc103093814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Beswick</dc:creator>
  <cp:keywords/>
  <dc:description/>
  <cp:lastModifiedBy>Rhiannon Miller</cp:lastModifiedBy>
  <cp:revision>2</cp:revision>
  <dcterms:created xsi:type="dcterms:W3CDTF">2022-08-25T13:31:00Z</dcterms:created>
  <dcterms:modified xsi:type="dcterms:W3CDTF">2022-08-25T13:31:00Z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0x010100920EA8918173084EABB54110D5BD8B3D</vt:lpwstr>
  </property>
</Properties>
</file>